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B5" w:rsidRDefault="00063312">
      <w:pPr>
        <w:spacing w:before="75"/>
        <w:ind w:right="121"/>
        <w:jc w:val="right"/>
        <w:rPr>
          <w:b/>
          <w:sz w:val="20"/>
        </w:rPr>
      </w:pPr>
      <w:r>
        <w:rPr>
          <w:b/>
          <w:sz w:val="20"/>
        </w:rPr>
        <w:t>Elektroninio dokumento nuorašas</w:t>
      </w:r>
    </w:p>
    <w:p w:rsidR="001B51B5" w:rsidRDefault="001B51B5">
      <w:pPr>
        <w:pStyle w:val="Pagrindinistekstas"/>
        <w:rPr>
          <w:b/>
          <w:sz w:val="20"/>
        </w:rPr>
      </w:pPr>
    </w:p>
    <w:p w:rsidR="001B51B5" w:rsidRDefault="001B51B5">
      <w:pPr>
        <w:pStyle w:val="Pagrindinistekstas"/>
        <w:rPr>
          <w:b/>
          <w:sz w:val="20"/>
        </w:rPr>
      </w:pPr>
    </w:p>
    <w:p w:rsidR="001B51B5" w:rsidRDefault="00063312">
      <w:pPr>
        <w:pStyle w:val="Pagrindinistekstas"/>
        <w:rPr>
          <w:b/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3840557</wp:posOffset>
            </wp:positionH>
            <wp:positionV relativeFrom="paragraph">
              <wp:posOffset>178336</wp:posOffset>
            </wp:positionV>
            <wp:extent cx="602946" cy="64960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46" cy="649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51B5" w:rsidRDefault="001B51B5">
      <w:pPr>
        <w:pStyle w:val="Pagrindinistekstas"/>
        <w:spacing w:before="1"/>
        <w:rPr>
          <w:b/>
          <w:sz w:val="14"/>
        </w:rPr>
      </w:pPr>
    </w:p>
    <w:p w:rsidR="001B51B5" w:rsidRDefault="00063312">
      <w:pPr>
        <w:pStyle w:val="Antrat1"/>
        <w:spacing w:before="90"/>
        <w:ind w:right="112"/>
      </w:pPr>
      <w:r>
        <w:t>BIRŽŲ RAJONO SAVIVALDYBĖS TARYBA</w:t>
      </w:r>
    </w:p>
    <w:p w:rsidR="001B51B5" w:rsidRDefault="001B51B5">
      <w:pPr>
        <w:pStyle w:val="Pagrindinistekstas"/>
        <w:rPr>
          <w:b/>
        </w:rPr>
      </w:pPr>
    </w:p>
    <w:p w:rsidR="001B51B5" w:rsidRDefault="00063312">
      <w:pPr>
        <w:ind w:left="89" w:right="109"/>
        <w:jc w:val="center"/>
        <w:rPr>
          <w:b/>
          <w:sz w:val="24"/>
        </w:rPr>
      </w:pPr>
      <w:r>
        <w:rPr>
          <w:b/>
          <w:sz w:val="24"/>
        </w:rPr>
        <w:t>SPRENDIMAS</w:t>
      </w:r>
    </w:p>
    <w:p w:rsidR="001B51B5" w:rsidRDefault="00063312">
      <w:pPr>
        <w:ind w:left="89" w:right="114"/>
        <w:jc w:val="center"/>
        <w:rPr>
          <w:b/>
          <w:sz w:val="24"/>
        </w:rPr>
      </w:pPr>
      <w:r>
        <w:rPr>
          <w:b/>
          <w:sz w:val="24"/>
        </w:rPr>
        <w:t>DĖL BIRŽŲ RAJONO SAVIVALDYBĖS TARYBOS 2019 M. RUGSĖJO 26 D. SPRENDIMO NR. T-193 „ DĖL ATLYGINIMO DYDŽIO UŽ VAIKŲ, UGDOMŲ PAGAL IKIMOKYKLINIO IR (AR) PRIEŠMOKYKLINIO UGDYMO PROGRAMAS, IŠLAIKYMĄ SAVIVALDYBĖS ŠVIETIMO ĮSTAIGOSE NUSTATYMO TVARKOS APRAŠO PATVIR</w:t>
      </w:r>
      <w:r>
        <w:rPr>
          <w:b/>
          <w:sz w:val="24"/>
        </w:rPr>
        <w:t>TINIMO“ PAKEITIMO</w:t>
      </w:r>
    </w:p>
    <w:p w:rsidR="001B51B5" w:rsidRDefault="001B51B5">
      <w:pPr>
        <w:pStyle w:val="Pagrindinistekstas"/>
        <w:rPr>
          <w:b/>
        </w:rPr>
      </w:pPr>
    </w:p>
    <w:p w:rsidR="001B51B5" w:rsidRDefault="00063312">
      <w:pPr>
        <w:pStyle w:val="Pagrindinistekstas"/>
        <w:tabs>
          <w:tab w:val="left" w:pos="4401"/>
          <w:tab w:val="left" w:pos="5909"/>
        </w:tabs>
        <w:ind w:left="4690" w:right="3522" w:hanging="1188"/>
      </w:pPr>
      <w:r>
        <w:t>20</w:t>
      </w:r>
      <w:r>
        <w:tab/>
        <w:t>m.</w:t>
      </w:r>
      <w:r>
        <w:tab/>
      </w:r>
      <w:r>
        <w:tab/>
        <w:t xml:space="preserve">d. </w:t>
      </w:r>
      <w:r>
        <w:rPr>
          <w:spacing w:val="-7"/>
        </w:rPr>
        <w:t xml:space="preserve">Nr. </w:t>
      </w:r>
      <w:r>
        <w:t>Biržai</w:t>
      </w:r>
    </w:p>
    <w:p w:rsidR="001B51B5" w:rsidRDefault="001B51B5">
      <w:pPr>
        <w:pStyle w:val="Pagrindinistekstas"/>
        <w:rPr>
          <w:sz w:val="26"/>
        </w:rPr>
      </w:pPr>
    </w:p>
    <w:p w:rsidR="001B51B5" w:rsidRDefault="001B51B5">
      <w:pPr>
        <w:pStyle w:val="Pagrindinistekstas"/>
        <w:rPr>
          <w:sz w:val="26"/>
        </w:rPr>
      </w:pPr>
    </w:p>
    <w:p w:rsidR="001B51B5" w:rsidRDefault="00063312">
      <w:pPr>
        <w:pStyle w:val="Pagrindinistekstas"/>
        <w:spacing w:before="230"/>
        <w:ind w:left="164" w:right="111" w:firstLine="708"/>
        <w:jc w:val="both"/>
      </w:pPr>
      <w:r>
        <w:t>Vadovaudamasi Lietuvos Respublikos vietos savivaldos įstatymo 6 straipsnio 10 punktu,    18 straipsnio 1 dalimi, Biržų rajono savivaldybės taryba n u s p r e n d ž i</w:t>
      </w:r>
      <w:r>
        <w:rPr>
          <w:spacing w:val="-3"/>
        </w:rPr>
        <w:t xml:space="preserve"> </w:t>
      </w:r>
      <w:r>
        <w:t>a:</w:t>
      </w:r>
    </w:p>
    <w:p w:rsidR="001B51B5" w:rsidRDefault="00063312">
      <w:pPr>
        <w:pStyle w:val="Pagrindinistekstas"/>
        <w:ind w:left="164" w:right="184" w:firstLine="708"/>
        <w:jc w:val="both"/>
      </w:pPr>
      <w:r>
        <w:t>Pakeisti Atlyginimo dydžio už vaikų, ugdomų p</w:t>
      </w:r>
      <w:r>
        <w:t>agal ikimokyklinio ir (ar) priešmokyklinio ugdymo programas, išlaikymą Savivaldybės švietimo įstaigose nustatymo tvarkos aprašą, patvirtintą Biržų rajono savivaldybės tarybos 2019 m. rugsėjo 26 d. sprendimu Nr. T-193 „Dėl atlyginimo dydžio už vaikų, ugdomų</w:t>
      </w:r>
      <w:r>
        <w:t xml:space="preserve"> pagal ikimokyklinio ir (ar) priešmokyklinio ugdymo programas, išlaikymą savivaldybės švietimo įstaigose nustatymo tvarkos aprašo patvirtinimo“ (su visais pakeitimais ir</w:t>
      </w:r>
      <w:r>
        <w:rPr>
          <w:spacing w:val="1"/>
        </w:rPr>
        <w:t xml:space="preserve"> </w:t>
      </w:r>
      <w:proofErr w:type="spellStart"/>
      <w:r>
        <w:t>papildymais</w:t>
      </w:r>
      <w:proofErr w:type="spellEnd"/>
      <w:r>
        <w:t>):</w:t>
      </w:r>
    </w:p>
    <w:p w:rsidR="001B51B5" w:rsidRDefault="00063312">
      <w:pPr>
        <w:pStyle w:val="Sraopastraipa"/>
        <w:numPr>
          <w:ilvl w:val="0"/>
          <w:numId w:val="1"/>
        </w:numPr>
        <w:tabs>
          <w:tab w:val="left" w:pos="994"/>
        </w:tabs>
        <w:spacing w:before="1"/>
        <w:jc w:val="both"/>
        <w:rPr>
          <w:sz w:val="24"/>
        </w:rPr>
      </w:pPr>
      <w:r>
        <w:rPr>
          <w:sz w:val="24"/>
        </w:rPr>
        <w:t>Pakeisti 6 punktą ir jį išdėstyti taip:</w:t>
      </w:r>
    </w:p>
    <w:p w:rsidR="001B51B5" w:rsidRDefault="00063312">
      <w:pPr>
        <w:pStyle w:val="Pagrindinistekstas"/>
        <w:ind w:left="164" w:right="184" w:firstLine="708"/>
        <w:jc w:val="both"/>
      </w:pPr>
      <w:r>
        <w:t>„6. Vaikų, ugdomų pagal ikimokyklinio ir priešmokyklinio ugdymo programas, tėvai (globėjai, rūpintojai) moka 100 procentų vaikų dienos maitinimo normos dydžio mokestį už maitinimą, už kiekvieną vaiko lankytą ir nelankytą nepateisintą dieną: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1474"/>
        <w:gridCol w:w="1168"/>
        <w:gridCol w:w="1634"/>
        <w:gridCol w:w="1600"/>
        <w:gridCol w:w="1050"/>
      </w:tblGrid>
      <w:tr w:rsidR="001B51B5">
        <w:trPr>
          <w:trHeight w:val="578"/>
        </w:trPr>
        <w:tc>
          <w:tcPr>
            <w:tcW w:w="2712" w:type="dxa"/>
            <w:vMerge w:val="restart"/>
          </w:tcPr>
          <w:p w:rsidR="001B51B5" w:rsidRDefault="001B51B5">
            <w:pPr>
              <w:pStyle w:val="TableParagraph"/>
              <w:jc w:val="left"/>
              <w:rPr>
                <w:sz w:val="25"/>
              </w:rPr>
            </w:pPr>
          </w:p>
          <w:p w:rsidR="001B51B5" w:rsidRDefault="00063312">
            <w:pPr>
              <w:pStyle w:val="TableParagraph"/>
              <w:ind w:left="376"/>
              <w:jc w:val="left"/>
              <w:rPr>
                <w:sz w:val="24"/>
              </w:rPr>
            </w:pPr>
            <w:r>
              <w:rPr>
                <w:sz w:val="24"/>
              </w:rPr>
              <w:t>Grupės pavadin</w:t>
            </w:r>
            <w:r>
              <w:rPr>
                <w:sz w:val="24"/>
              </w:rPr>
              <w:t>imas</w:t>
            </w:r>
          </w:p>
        </w:tc>
        <w:tc>
          <w:tcPr>
            <w:tcW w:w="6926" w:type="dxa"/>
            <w:gridSpan w:val="5"/>
          </w:tcPr>
          <w:p w:rsidR="001B51B5" w:rsidRDefault="00063312">
            <w:pPr>
              <w:pStyle w:val="TableParagraph"/>
              <w:ind w:left="151" w:right="140"/>
              <w:rPr>
                <w:sz w:val="24"/>
              </w:rPr>
            </w:pPr>
            <w:r>
              <w:rPr>
                <w:sz w:val="24"/>
              </w:rPr>
              <w:t xml:space="preserve">Maitinimo išlaidos, </w:t>
            </w:r>
            <w:proofErr w:type="spellStart"/>
            <w:r>
              <w:rPr>
                <w:sz w:val="24"/>
              </w:rPr>
              <w:t>Eur</w:t>
            </w:r>
            <w:proofErr w:type="spellEnd"/>
            <w:r>
              <w:rPr>
                <w:sz w:val="24"/>
              </w:rPr>
              <w:t xml:space="preserve"> (už 1 vaiko lankytą ir nelankytą nepateisintą</w:t>
            </w:r>
          </w:p>
          <w:p w:rsidR="001B51B5" w:rsidRDefault="00063312">
            <w:pPr>
              <w:pStyle w:val="TableParagraph"/>
              <w:spacing w:before="12" w:line="270" w:lineRule="exact"/>
              <w:ind w:left="151" w:right="137"/>
              <w:rPr>
                <w:sz w:val="24"/>
              </w:rPr>
            </w:pPr>
            <w:r>
              <w:rPr>
                <w:sz w:val="24"/>
              </w:rPr>
              <w:t>dieną)</w:t>
            </w:r>
          </w:p>
        </w:tc>
      </w:tr>
      <w:tr w:rsidR="001B51B5">
        <w:trPr>
          <w:trHeight w:val="577"/>
        </w:trPr>
        <w:tc>
          <w:tcPr>
            <w:tcW w:w="2712" w:type="dxa"/>
            <w:vMerge/>
            <w:tcBorders>
              <w:top w:val="nil"/>
            </w:tcBorders>
          </w:tcPr>
          <w:p w:rsidR="001B51B5" w:rsidRDefault="001B51B5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</w:tcPr>
          <w:p w:rsidR="001B51B5" w:rsidRDefault="001B51B5">
            <w:pPr>
              <w:pStyle w:val="TableParagraph"/>
              <w:jc w:val="left"/>
              <w:rPr>
                <w:sz w:val="25"/>
              </w:rPr>
            </w:pPr>
          </w:p>
          <w:p w:rsidR="001B51B5" w:rsidRDefault="00063312">
            <w:pPr>
              <w:pStyle w:val="TableParagraph"/>
              <w:spacing w:line="270" w:lineRule="exact"/>
              <w:ind w:left="271" w:right="259"/>
              <w:rPr>
                <w:sz w:val="24"/>
              </w:rPr>
            </w:pPr>
            <w:r>
              <w:rPr>
                <w:sz w:val="24"/>
              </w:rPr>
              <w:t>Pusryčiai</w:t>
            </w:r>
          </w:p>
        </w:tc>
        <w:tc>
          <w:tcPr>
            <w:tcW w:w="1168" w:type="dxa"/>
          </w:tcPr>
          <w:p w:rsidR="001B51B5" w:rsidRDefault="001B51B5">
            <w:pPr>
              <w:pStyle w:val="TableParagraph"/>
              <w:jc w:val="left"/>
              <w:rPr>
                <w:sz w:val="25"/>
              </w:rPr>
            </w:pPr>
          </w:p>
          <w:p w:rsidR="001B51B5" w:rsidRDefault="00063312">
            <w:pPr>
              <w:pStyle w:val="TableParagraph"/>
              <w:spacing w:line="270" w:lineRule="exact"/>
              <w:ind w:left="271" w:right="260"/>
              <w:rPr>
                <w:sz w:val="24"/>
              </w:rPr>
            </w:pPr>
            <w:r>
              <w:rPr>
                <w:sz w:val="24"/>
              </w:rPr>
              <w:t>Pietūs</w:t>
            </w:r>
          </w:p>
        </w:tc>
        <w:tc>
          <w:tcPr>
            <w:tcW w:w="1634" w:type="dxa"/>
          </w:tcPr>
          <w:p w:rsidR="001B51B5" w:rsidRDefault="001B51B5">
            <w:pPr>
              <w:pStyle w:val="TableParagraph"/>
              <w:jc w:val="left"/>
              <w:rPr>
                <w:sz w:val="25"/>
              </w:rPr>
            </w:pPr>
          </w:p>
          <w:p w:rsidR="001B51B5" w:rsidRDefault="00063312">
            <w:pPr>
              <w:pStyle w:val="TableParagraph"/>
              <w:spacing w:line="270" w:lineRule="exact"/>
              <w:ind w:left="291" w:right="280"/>
              <w:rPr>
                <w:sz w:val="24"/>
              </w:rPr>
            </w:pPr>
            <w:r>
              <w:rPr>
                <w:sz w:val="24"/>
              </w:rPr>
              <w:t>Pavakariai</w:t>
            </w:r>
          </w:p>
        </w:tc>
        <w:tc>
          <w:tcPr>
            <w:tcW w:w="1600" w:type="dxa"/>
          </w:tcPr>
          <w:p w:rsidR="001B51B5" w:rsidRDefault="001B51B5">
            <w:pPr>
              <w:pStyle w:val="TableParagraph"/>
              <w:jc w:val="left"/>
              <w:rPr>
                <w:sz w:val="25"/>
              </w:rPr>
            </w:pPr>
          </w:p>
          <w:p w:rsidR="001B51B5" w:rsidRDefault="00063312">
            <w:pPr>
              <w:pStyle w:val="TableParagraph"/>
              <w:spacing w:line="270" w:lineRule="exact"/>
              <w:ind w:left="287" w:right="277"/>
              <w:rPr>
                <w:sz w:val="24"/>
              </w:rPr>
            </w:pPr>
            <w:r>
              <w:rPr>
                <w:sz w:val="24"/>
              </w:rPr>
              <w:t>Vakarienė</w:t>
            </w:r>
          </w:p>
        </w:tc>
        <w:tc>
          <w:tcPr>
            <w:tcW w:w="1050" w:type="dxa"/>
          </w:tcPr>
          <w:p w:rsidR="001B51B5" w:rsidRDefault="001B51B5">
            <w:pPr>
              <w:pStyle w:val="TableParagraph"/>
              <w:jc w:val="left"/>
              <w:rPr>
                <w:sz w:val="25"/>
              </w:rPr>
            </w:pPr>
          </w:p>
          <w:p w:rsidR="001B51B5" w:rsidRDefault="00063312">
            <w:pPr>
              <w:pStyle w:val="TableParagraph"/>
              <w:spacing w:line="270" w:lineRule="exact"/>
              <w:ind w:left="189" w:right="176"/>
              <w:rPr>
                <w:sz w:val="24"/>
              </w:rPr>
            </w:pPr>
            <w:r>
              <w:rPr>
                <w:sz w:val="24"/>
              </w:rPr>
              <w:t>Iš viso</w:t>
            </w:r>
          </w:p>
        </w:tc>
      </w:tr>
      <w:tr w:rsidR="001B51B5">
        <w:trPr>
          <w:trHeight w:val="578"/>
        </w:trPr>
        <w:tc>
          <w:tcPr>
            <w:tcW w:w="2712" w:type="dxa"/>
          </w:tcPr>
          <w:p w:rsidR="001B51B5" w:rsidRDefault="00063312">
            <w:pPr>
              <w:pStyle w:val="TableParagraph"/>
              <w:ind w:left="433" w:right="420"/>
              <w:rPr>
                <w:sz w:val="24"/>
              </w:rPr>
            </w:pPr>
            <w:r>
              <w:rPr>
                <w:sz w:val="24"/>
              </w:rPr>
              <w:t>Lopšelio grupės</w:t>
            </w:r>
          </w:p>
          <w:p w:rsidR="001B51B5" w:rsidRDefault="00063312">
            <w:pPr>
              <w:pStyle w:val="TableParagraph"/>
              <w:spacing w:before="12" w:line="270" w:lineRule="exact"/>
              <w:ind w:left="433" w:right="422"/>
              <w:rPr>
                <w:sz w:val="24"/>
              </w:rPr>
            </w:pPr>
            <w:r>
              <w:rPr>
                <w:sz w:val="24"/>
              </w:rPr>
              <w:t>(nuo 0 m. iki 3 m.)</w:t>
            </w:r>
          </w:p>
        </w:tc>
        <w:tc>
          <w:tcPr>
            <w:tcW w:w="1474" w:type="dxa"/>
          </w:tcPr>
          <w:p w:rsidR="001B51B5" w:rsidRDefault="001B51B5">
            <w:pPr>
              <w:pStyle w:val="TableParagraph"/>
              <w:jc w:val="left"/>
              <w:rPr>
                <w:sz w:val="25"/>
              </w:rPr>
            </w:pPr>
          </w:p>
          <w:p w:rsidR="001B51B5" w:rsidRDefault="00063312">
            <w:pPr>
              <w:pStyle w:val="TableParagraph"/>
              <w:spacing w:line="270" w:lineRule="exact"/>
              <w:ind w:left="271" w:right="255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  <w:tc>
          <w:tcPr>
            <w:tcW w:w="1168" w:type="dxa"/>
          </w:tcPr>
          <w:p w:rsidR="001B51B5" w:rsidRDefault="001B51B5">
            <w:pPr>
              <w:pStyle w:val="TableParagraph"/>
              <w:jc w:val="left"/>
              <w:rPr>
                <w:sz w:val="25"/>
              </w:rPr>
            </w:pPr>
          </w:p>
          <w:p w:rsidR="001B51B5" w:rsidRDefault="00063312">
            <w:pPr>
              <w:pStyle w:val="TableParagraph"/>
              <w:spacing w:line="270" w:lineRule="exact"/>
              <w:ind w:left="271" w:right="257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  <w:tc>
          <w:tcPr>
            <w:tcW w:w="1634" w:type="dxa"/>
          </w:tcPr>
          <w:p w:rsidR="001B51B5" w:rsidRDefault="001B51B5">
            <w:pPr>
              <w:pStyle w:val="TableParagraph"/>
              <w:jc w:val="left"/>
              <w:rPr>
                <w:sz w:val="25"/>
              </w:rPr>
            </w:pPr>
          </w:p>
          <w:p w:rsidR="001B51B5" w:rsidRDefault="00063312">
            <w:pPr>
              <w:pStyle w:val="TableParagraph"/>
              <w:spacing w:line="270" w:lineRule="exact"/>
              <w:ind w:left="291" w:right="279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  <w:tc>
          <w:tcPr>
            <w:tcW w:w="1600" w:type="dxa"/>
          </w:tcPr>
          <w:p w:rsidR="001B51B5" w:rsidRDefault="00063312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50" w:type="dxa"/>
          </w:tcPr>
          <w:p w:rsidR="001B51B5" w:rsidRDefault="001B51B5">
            <w:pPr>
              <w:pStyle w:val="TableParagraph"/>
              <w:jc w:val="left"/>
              <w:rPr>
                <w:sz w:val="25"/>
              </w:rPr>
            </w:pPr>
          </w:p>
          <w:p w:rsidR="001B51B5" w:rsidRDefault="00063312">
            <w:pPr>
              <w:pStyle w:val="TableParagraph"/>
              <w:spacing w:line="270" w:lineRule="exact"/>
              <w:ind w:left="188" w:right="176"/>
              <w:rPr>
                <w:sz w:val="24"/>
              </w:rPr>
            </w:pPr>
            <w:r>
              <w:rPr>
                <w:sz w:val="24"/>
              </w:rPr>
              <w:t>2,10</w:t>
            </w:r>
          </w:p>
        </w:tc>
      </w:tr>
      <w:tr w:rsidR="001B51B5">
        <w:trPr>
          <w:trHeight w:val="577"/>
        </w:trPr>
        <w:tc>
          <w:tcPr>
            <w:tcW w:w="2712" w:type="dxa"/>
          </w:tcPr>
          <w:p w:rsidR="001B51B5" w:rsidRDefault="00063312">
            <w:pPr>
              <w:pStyle w:val="TableParagraph"/>
              <w:ind w:left="433" w:right="418"/>
              <w:rPr>
                <w:sz w:val="24"/>
              </w:rPr>
            </w:pPr>
            <w:r>
              <w:rPr>
                <w:sz w:val="24"/>
              </w:rPr>
              <w:t>Darželio grupės</w:t>
            </w:r>
          </w:p>
          <w:p w:rsidR="001B51B5" w:rsidRDefault="00063312">
            <w:pPr>
              <w:pStyle w:val="TableParagraph"/>
              <w:spacing w:before="12" w:line="270" w:lineRule="exact"/>
              <w:ind w:left="433" w:right="422"/>
              <w:rPr>
                <w:sz w:val="24"/>
              </w:rPr>
            </w:pPr>
            <w:r>
              <w:rPr>
                <w:sz w:val="24"/>
              </w:rPr>
              <w:t>(nuo 3 m. iki 6 m.)</w:t>
            </w:r>
          </w:p>
        </w:tc>
        <w:tc>
          <w:tcPr>
            <w:tcW w:w="1474" w:type="dxa"/>
          </w:tcPr>
          <w:p w:rsidR="001B51B5" w:rsidRDefault="001B51B5">
            <w:pPr>
              <w:pStyle w:val="TableParagraph"/>
              <w:jc w:val="left"/>
              <w:rPr>
                <w:sz w:val="25"/>
              </w:rPr>
            </w:pPr>
          </w:p>
          <w:p w:rsidR="001B51B5" w:rsidRDefault="00063312">
            <w:pPr>
              <w:pStyle w:val="TableParagraph"/>
              <w:spacing w:line="270" w:lineRule="exact"/>
              <w:ind w:left="271" w:right="255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1168" w:type="dxa"/>
          </w:tcPr>
          <w:p w:rsidR="001B51B5" w:rsidRDefault="001B51B5">
            <w:pPr>
              <w:pStyle w:val="TableParagraph"/>
              <w:jc w:val="left"/>
              <w:rPr>
                <w:sz w:val="25"/>
              </w:rPr>
            </w:pPr>
          </w:p>
          <w:p w:rsidR="001B51B5" w:rsidRDefault="00063312">
            <w:pPr>
              <w:pStyle w:val="TableParagraph"/>
              <w:spacing w:line="270" w:lineRule="exact"/>
              <w:ind w:left="271" w:right="257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  <w:tc>
          <w:tcPr>
            <w:tcW w:w="1634" w:type="dxa"/>
          </w:tcPr>
          <w:p w:rsidR="001B51B5" w:rsidRDefault="001B51B5">
            <w:pPr>
              <w:pStyle w:val="TableParagraph"/>
              <w:jc w:val="left"/>
              <w:rPr>
                <w:sz w:val="25"/>
              </w:rPr>
            </w:pPr>
          </w:p>
          <w:p w:rsidR="001B51B5" w:rsidRDefault="00063312">
            <w:pPr>
              <w:pStyle w:val="TableParagraph"/>
              <w:spacing w:line="270" w:lineRule="exact"/>
              <w:ind w:left="291" w:right="279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1600" w:type="dxa"/>
          </w:tcPr>
          <w:p w:rsidR="001B51B5" w:rsidRDefault="00063312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50" w:type="dxa"/>
          </w:tcPr>
          <w:p w:rsidR="001B51B5" w:rsidRDefault="001B51B5">
            <w:pPr>
              <w:pStyle w:val="TableParagraph"/>
              <w:jc w:val="left"/>
              <w:rPr>
                <w:sz w:val="25"/>
              </w:rPr>
            </w:pPr>
          </w:p>
          <w:p w:rsidR="001B51B5" w:rsidRDefault="00063312">
            <w:pPr>
              <w:pStyle w:val="TableParagraph"/>
              <w:spacing w:line="270" w:lineRule="exact"/>
              <w:ind w:left="188" w:right="176"/>
              <w:rPr>
                <w:sz w:val="24"/>
              </w:rPr>
            </w:pPr>
            <w:r>
              <w:rPr>
                <w:sz w:val="24"/>
              </w:rPr>
              <w:t>2,50</w:t>
            </w:r>
          </w:p>
        </w:tc>
      </w:tr>
      <w:tr w:rsidR="001B51B5">
        <w:trPr>
          <w:trHeight w:val="866"/>
        </w:trPr>
        <w:tc>
          <w:tcPr>
            <w:tcW w:w="2712" w:type="dxa"/>
          </w:tcPr>
          <w:p w:rsidR="001B51B5" w:rsidRDefault="00063312">
            <w:pPr>
              <w:pStyle w:val="TableParagraph"/>
              <w:spacing w:line="249" w:lineRule="auto"/>
              <w:ind w:left="1038" w:right="106" w:hanging="896"/>
              <w:jc w:val="left"/>
              <w:rPr>
                <w:sz w:val="24"/>
              </w:rPr>
            </w:pPr>
            <w:r>
              <w:rPr>
                <w:sz w:val="24"/>
              </w:rPr>
              <w:t>Priešmokyklinio ugdymo grupės</w:t>
            </w:r>
          </w:p>
        </w:tc>
        <w:tc>
          <w:tcPr>
            <w:tcW w:w="1474" w:type="dxa"/>
          </w:tcPr>
          <w:p w:rsidR="001B51B5" w:rsidRDefault="001B51B5">
            <w:pPr>
              <w:pStyle w:val="TableParagraph"/>
              <w:jc w:val="left"/>
              <w:rPr>
                <w:sz w:val="25"/>
              </w:rPr>
            </w:pPr>
          </w:p>
          <w:p w:rsidR="001B51B5" w:rsidRDefault="00063312">
            <w:pPr>
              <w:pStyle w:val="TableParagraph"/>
              <w:ind w:left="271" w:right="255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1168" w:type="dxa"/>
          </w:tcPr>
          <w:p w:rsidR="001B51B5" w:rsidRDefault="001B51B5">
            <w:pPr>
              <w:pStyle w:val="TableParagraph"/>
              <w:jc w:val="left"/>
              <w:rPr>
                <w:sz w:val="25"/>
              </w:rPr>
            </w:pPr>
          </w:p>
          <w:p w:rsidR="001B51B5" w:rsidRDefault="00063312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634" w:type="dxa"/>
          </w:tcPr>
          <w:p w:rsidR="001B51B5" w:rsidRDefault="001B51B5">
            <w:pPr>
              <w:pStyle w:val="TableParagraph"/>
              <w:jc w:val="left"/>
              <w:rPr>
                <w:sz w:val="25"/>
              </w:rPr>
            </w:pPr>
          </w:p>
          <w:p w:rsidR="001B51B5" w:rsidRDefault="00063312">
            <w:pPr>
              <w:pStyle w:val="TableParagraph"/>
              <w:ind w:left="291" w:right="279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1600" w:type="dxa"/>
          </w:tcPr>
          <w:p w:rsidR="001B51B5" w:rsidRDefault="001B51B5">
            <w:pPr>
              <w:pStyle w:val="TableParagraph"/>
              <w:jc w:val="left"/>
              <w:rPr>
                <w:sz w:val="25"/>
              </w:rPr>
            </w:pPr>
          </w:p>
          <w:p w:rsidR="001B51B5" w:rsidRDefault="00063312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50" w:type="dxa"/>
          </w:tcPr>
          <w:p w:rsidR="001B51B5" w:rsidRDefault="001B51B5">
            <w:pPr>
              <w:pStyle w:val="TableParagraph"/>
              <w:jc w:val="left"/>
              <w:rPr>
                <w:sz w:val="25"/>
              </w:rPr>
            </w:pPr>
          </w:p>
          <w:p w:rsidR="001B51B5" w:rsidRDefault="00063312">
            <w:pPr>
              <w:pStyle w:val="TableParagraph"/>
              <w:ind w:left="188" w:right="176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 w:rsidR="001B51B5">
        <w:trPr>
          <w:trHeight w:val="290"/>
        </w:trPr>
        <w:tc>
          <w:tcPr>
            <w:tcW w:w="2712" w:type="dxa"/>
          </w:tcPr>
          <w:p w:rsidR="001B51B5" w:rsidRDefault="00063312">
            <w:pPr>
              <w:pStyle w:val="TableParagraph"/>
              <w:spacing w:line="270" w:lineRule="exact"/>
              <w:ind w:left="608"/>
              <w:jc w:val="left"/>
              <w:rPr>
                <w:sz w:val="24"/>
              </w:rPr>
            </w:pPr>
            <w:r>
              <w:rPr>
                <w:sz w:val="24"/>
              </w:rPr>
              <w:t>Savaitinė grupė</w:t>
            </w:r>
          </w:p>
        </w:tc>
        <w:tc>
          <w:tcPr>
            <w:tcW w:w="1474" w:type="dxa"/>
          </w:tcPr>
          <w:p w:rsidR="001B51B5" w:rsidRDefault="00063312">
            <w:pPr>
              <w:pStyle w:val="TableParagraph"/>
              <w:spacing w:line="270" w:lineRule="exact"/>
              <w:ind w:left="271" w:right="255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1168" w:type="dxa"/>
          </w:tcPr>
          <w:p w:rsidR="001B51B5" w:rsidRDefault="00063312">
            <w:pPr>
              <w:pStyle w:val="TableParagraph"/>
              <w:spacing w:line="270" w:lineRule="exact"/>
              <w:ind w:left="271" w:right="257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  <w:tc>
          <w:tcPr>
            <w:tcW w:w="1634" w:type="dxa"/>
          </w:tcPr>
          <w:p w:rsidR="001B51B5" w:rsidRDefault="00063312">
            <w:pPr>
              <w:pStyle w:val="TableParagraph"/>
              <w:spacing w:line="270" w:lineRule="exact"/>
              <w:ind w:left="291" w:right="279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1600" w:type="dxa"/>
          </w:tcPr>
          <w:p w:rsidR="001B51B5" w:rsidRDefault="00063312">
            <w:pPr>
              <w:pStyle w:val="TableParagraph"/>
              <w:spacing w:line="270" w:lineRule="exact"/>
              <w:ind w:left="287" w:right="273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  <w:tc>
          <w:tcPr>
            <w:tcW w:w="1050" w:type="dxa"/>
          </w:tcPr>
          <w:p w:rsidR="001B51B5" w:rsidRDefault="00063312">
            <w:pPr>
              <w:pStyle w:val="TableParagraph"/>
              <w:spacing w:line="270" w:lineRule="exact"/>
              <w:ind w:left="188" w:right="176"/>
              <w:rPr>
                <w:sz w:val="24"/>
              </w:rPr>
            </w:pPr>
            <w:r>
              <w:rPr>
                <w:sz w:val="24"/>
              </w:rPr>
              <w:t>2,90</w:t>
            </w:r>
          </w:p>
        </w:tc>
      </w:tr>
    </w:tbl>
    <w:p w:rsidR="001B51B5" w:rsidRDefault="00063312">
      <w:pPr>
        <w:pStyle w:val="Pagrindinistekstas"/>
        <w:ind w:left="164" w:right="184" w:firstLine="708"/>
        <w:jc w:val="both"/>
      </w:pPr>
      <w:r>
        <w:t xml:space="preserve">*– kurie mokosi pagal priešmokyklinio ugdymo programą turi teisę į nemokamus pietus, nevertinant gaunamų pajamų. Ekstremalios situacijos, ekstremaliojo įvykio ir (ar) karantino metu ar kitu </w:t>
      </w:r>
      <w:r>
        <w:rPr>
          <w:i/>
        </w:rPr>
        <w:t xml:space="preserve">force majeure </w:t>
      </w:r>
      <w:r>
        <w:t>atveju sustabdžius ugdymo organizavimo procesą įstai</w:t>
      </w:r>
      <w:r>
        <w:t>goje, maitinimo paslauga neteikiama (jei tai daryti draudžia Lietuvos Respublikos Vyriausybės nutarimai, Lietuvos Respublikos sveikatos apsaugos ministro įsakymai ar Valstybės lygio ekstremaliosios situacijos valstybės operacijų vadovo sprendimai). Tokiomi</w:t>
      </w:r>
      <w:r>
        <w:t>s aplinkybėmis nemokamą maitinimą gaunantiems vaikams užtikrinamas nemokamo maitinimo teikimas aprūpinant juos maisto produktų daviniais.“.</w:t>
      </w:r>
    </w:p>
    <w:p w:rsidR="001B51B5" w:rsidRDefault="00063312">
      <w:pPr>
        <w:pStyle w:val="Sraopastraipa"/>
        <w:numPr>
          <w:ilvl w:val="0"/>
          <w:numId w:val="1"/>
        </w:numPr>
        <w:tabs>
          <w:tab w:val="left" w:pos="1112"/>
        </w:tabs>
        <w:ind w:left="1112" w:hanging="241"/>
        <w:jc w:val="both"/>
        <w:rPr>
          <w:sz w:val="24"/>
        </w:rPr>
      </w:pPr>
      <w:r>
        <w:rPr>
          <w:sz w:val="24"/>
        </w:rPr>
        <w:t>Nustatyti, kad šis sprendimas įsigalioja 2022 m. sausio 1</w:t>
      </w:r>
      <w:r>
        <w:rPr>
          <w:spacing w:val="2"/>
          <w:sz w:val="24"/>
        </w:rPr>
        <w:t xml:space="preserve"> </w:t>
      </w:r>
      <w:r>
        <w:rPr>
          <w:sz w:val="24"/>
        </w:rPr>
        <w:t>d.</w:t>
      </w:r>
    </w:p>
    <w:p w:rsidR="001B51B5" w:rsidRDefault="00063312">
      <w:pPr>
        <w:spacing w:before="66"/>
        <w:ind w:left="164"/>
        <w:jc w:val="both"/>
        <w:rPr>
          <w:b/>
        </w:rPr>
      </w:pPr>
      <w:r>
        <w:rPr>
          <w:b/>
        </w:rPr>
        <w:t>Nuorašas tikras</w:t>
      </w:r>
    </w:p>
    <w:p w:rsidR="001B51B5" w:rsidRDefault="001B51B5">
      <w:pPr>
        <w:jc w:val="both"/>
        <w:sectPr w:rsidR="001B51B5">
          <w:footerReference w:type="default" r:id="rId8"/>
          <w:type w:val="continuous"/>
          <w:pgSz w:w="11910" w:h="16840"/>
          <w:pgMar w:top="220" w:right="380" w:bottom="840" w:left="1540" w:header="567" w:footer="654" w:gutter="0"/>
          <w:cols w:space="1296"/>
        </w:sectPr>
      </w:pPr>
    </w:p>
    <w:p w:rsidR="001B51B5" w:rsidRDefault="00063312">
      <w:pPr>
        <w:spacing w:before="34"/>
        <w:ind w:right="20"/>
        <w:jc w:val="center"/>
        <w:rPr>
          <w:rFonts w:ascii="Carlito"/>
        </w:rPr>
      </w:pPr>
      <w:r>
        <w:rPr>
          <w:rFonts w:ascii="Carlito"/>
        </w:rPr>
        <w:lastRenderedPageBreak/>
        <w:t>2</w:t>
      </w:r>
    </w:p>
    <w:p w:rsidR="001B51B5" w:rsidRDefault="001B51B5">
      <w:pPr>
        <w:pStyle w:val="Pagrindinistekstas"/>
        <w:rPr>
          <w:rFonts w:ascii="Carlito"/>
          <w:sz w:val="22"/>
        </w:rPr>
      </w:pPr>
    </w:p>
    <w:p w:rsidR="001B51B5" w:rsidRDefault="00063312">
      <w:pPr>
        <w:pStyle w:val="Pagrindinistekstas"/>
        <w:spacing w:before="167"/>
        <w:ind w:left="164" w:right="188" w:firstLine="720"/>
        <w:jc w:val="both"/>
      </w:pPr>
      <w:r>
        <w:t>Šis sprendimas per vieną mėnesį gali būti skundžiamas Regionų apygardos administraciniam teismui, skundą (prašymą) paduodant bet kuriuose šio teismo rūmuose, Lietuvos Respublikos administracinių bylų teisenos įstatymo nustatyta</w:t>
      </w:r>
      <w:r>
        <w:rPr>
          <w:spacing w:val="4"/>
        </w:rPr>
        <w:t xml:space="preserve"> </w:t>
      </w:r>
      <w:r>
        <w:t>tvarka.</w:t>
      </w:r>
    </w:p>
    <w:p w:rsidR="001B51B5" w:rsidRDefault="001B51B5">
      <w:pPr>
        <w:pStyle w:val="Pagrindinistekstas"/>
        <w:rPr>
          <w:sz w:val="26"/>
        </w:rPr>
      </w:pPr>
    </w:p>
    <w:p w:rsidR="001B51B5" w:rsidRDefault="001B51B5">
      <w:pPr>
        <w:pStyle w:val="Pagrindinistekstas"/>
        <w:rPr>
          <w:sz w:val="22"/>
        </w:rPr>
      </w:pPr>
    </w:p>
    <w:p w:rsidR="001B51B5" w:rsidRDefault="00063312">
      <w:pPr>
        <w:pStyle w:val="Pagrindinistekstas"/>
        <w:tabs>
          <w:tab w:val="left" w:pos="8239"/>
        </w:tabs>
        <w:ind w:left="164"/>
      </w:pPr>
      <w:r>
        <w:t>Savivaldybės</w:t>
      </w:r>
      <w:r>
        <w:rPr>
          <w:spacing w:val="-1"/>
        </w:rPr>
        <w:t xml:space="preserve"> </w:t>
      </w:r>
      <w:r>
        <w:t>meras</w:t>
      </w:r>
      <w:r>
        <w:tab/>
        <w:t>Vytas</w:t>
      </w:r>
      <w:r>
        <w:rPr>
          <w:spacing w:val="1"/>
        </w:rPr>
        <w:t xml:space="preserve"> </w:t>
      </w:r>
      <w:proofErr w:type="spellStart"/>
      <w:r>
        <w:t>Jareckas</w:t>
      </w:r>
      <w:proofErr w:type="spellEnd"/>
    </w:p>
    <w:p w:rsidR="001B51B5" w:rsidRDefault="001B51B5">
      <w:pPr>
        <w:pStyle w:val="Pagrindinistekstas"/>
        <w:rPr>
          <w:sz w:val="26"/>
        </w:rPr>
      </w:pPr>
    </w:p>
    <w:p w:rsidR="001B51B5" w:rsidRDefault="001B51B5">
      <w:pPr>
        <w:pStyle w:val="Pagrindinistekstas"/>
        <w:rPr>
          <w:sz w:val="26"/>
        </w:rPr>
      </w:pPr>
    </w:p>
    <w:p w:rsidR="001B51B5" w:rsidRDefault="001B51B5">
      <w:pPr>
        <w:pStyle w:val="Pagrindinistekstas"/>
        <w:rPr>
          <w:sz w:val="26"/>
        </w:rPr>
      </w:pPr>
    </w:p>
    <w:p w:rsidR="001B51B5" w:rsidRDefault="001B51B5">
      <w:pPr>
        <w:pStyle w:val="Pagrindinistekstas"/>
        <w:rPr>
          <w:sz w:val="26"/>
        </w:rPr>
      </w:pPr>
    </w:p>
    <w:p w:rsidR="001B51B5" w:rsidRDefault="001B51B5">
      <w:pPr>
        <w:pStyle w:val="Pagrindinistekstas"/>
        <w:rPr>
          <w:sz w:val="26"/>
        </w:rPr>
      </w:pPr>
    </w:p>
    <w:p w:rsidR="001B51B5" w:rsidRDefault="001B51B5">
      <w:pPr>
        <w:pStyle w:val="Pagrindinistekstas"/>
        <w:rPr>
          <w:sz w:val="26"/>
        </w:rPr>
      </w:pPr>
    </w:p>
    <w:p w:rsidR="001B51B5" w:rsidRDefault="001B51B5">
      <w:pPr>
        <w:pStyle w:val="Pagrindinistekstas"/>
        <w:rPr>
          <w:sz w:val="26"/>
        </w:rPr>
      </w:pPr>
    </w:p>
    <w:p w:rsidR="001B51B5" w:rsidRDefault="001B51B5">
      <w:pPr>
        <w:pStyle w:val="Pagrindinistekstas"/>
        <w:rPr>
          <w:sz w:val="26"/>
        </w:rPr>
      </w:pPr>
    </w:p>
    <w:p w:rsidR="001B51B5" w:rsidRDefault="001B51B5">
      <w:pPr>
        <w:pStyle w:val="Pagrindinistekstas"/>
        <w:rPr>
          <w:sz w:val="26"/>
        </w:rPr>
      </w:pPr>
    </w:p>
    <w:p w:rsidR="001B51B5" w:rsidRDefault="001B51B5">
      <w:pPr>
        <w:pStyle w:val="Pagrindinistekstas"/>
        <w:rPr>
          <w:sz w:val="26"/>
        </w:rPr>
      </w:pPr>
    </w:p>
    <w:p w:rsidR="001B51B5" w:rsidRDefault="001B51B5">
      <w:pPr>
        <w:pStyle w:val="Pagrindinistekstas"/>
        <w:rPr>
          <w:sz w:val="26"/>
        </w:rPr>
      </w:pPr>
    </w:p>
    <w:p w:rsidR="001B51B5" w:rsidRDefault="001B51B5">
      <w:pPr>
        <w:pStyle w:val="Pagrindinistekstas"/>
        <w:rPr>
          <w:sz w:val="26"/>
        </w:rPr>
      </w:pPr>
    </w:p>
    <w:p w:rsidR="001B51B5" w:rsidRDefault="001B51B5">
      <w:pPr>
        <w:pStyle w:val="Pagrindinistekstas"/>
        <w:rPr>
          <w:sz w:val="26"/>
        </w:rPr>
      </w:pPr>
    </w:p>
    <w:p w:rsidR="001B51B5" w:rsidRDefault="001B51B5">
      <w:pPr>
        <w:pStyle w:val="Pagrindinistekstas"/>
        <w:rPr>
          <w:sz w:val="26"/>
        </w:rPr>
      </w:pPr>
    </w:p>
    <w:p w:rsidR="001B51B5" w:rsidRDefault="001B51B5">
      <w:pPr>
        <w:pStyle w:val="Pagrindinistekstas"/>
        <w:rPr>
          <w:sz w:val="26"/>
        </w:rPr>
      </w:pPr>
    </w:p>
    <w:p w:rsidR="001B51B5" w:rsidRDefault="001B51B5">
      <w:pPr>
        <w:pStyle w:val="Pagrindinistekstas"/>
        <w:rPr>
          <w:sz w:val="26"/>
        </w:rPr>
      </w:pPr>
    </w:p>
    <w:p w:rsidR="001B51B5" w:rsidRDefault="001B51B5">
      <w:pPr>
        <w:pStyle w:val="Pagrindinistekstas"/>
        <w:rPr>
          <w:sz w:val="26"/>
        </w:rPr>
      </w:pPr>
    </w:p>
    <w:p w:rsidR="001B51B5" w:rsidRDefault="001B51B5">
      <w:pPr>
        <w:pStyle w:val="Pagrindinistekstas"/>
        <w:rPr>
          <w:sz w:val="26"/>
        </w:rPr>
      </w:pPr>
    </w:p>
    <w:p w:rsidR="001B51B5" w:rsidRDefault="001B51B5">
      <w:pPr>
        <w:pStyle w:val="Pagrindinistekstas"/>
        <w:rPr>
          <w:sz w:val="26"/>
        </w:rPr>
      </w:pPr>
    </w:p>
    <w:p w:rsidR="001B51B5" w:rsidRDefault="001B51B5">
      <w:pPr>
        <w:pStyle w:val="Pagrindinistekstas"/>
        <w:rPr>
          <w:sz w:val="26"/>
        </w:rPr>
      </w:pPr>
    </w:p>
    <w:p w:rsidR="001B51B5" w:rsidRDefault="001B51B5">
      <w:pPr>
        <w:pStyle w:val="Pagrindinistekstas"/>
        <w:rPr>
          <w:sz w:val="26"/>
        </w:rPr>
      </w:pPr>
    </w:p>
    <w:p w:rsidR="001B51B5" w:rsidRDefault="001B51B5">
      <w:pPr>
        <w:pStyle w:val="Pagrindinistekstas"/>
        <w:rPr>
          <w:sz w:val="26"/>
        </w:rPr>
      </w:pPr>
    </w:p>
    <w:p w:rsidR="001B51B5" w:rsidRDefault="001B51B5">
      <w:pPr>
        <w:pStyle w:val="Pagrindinistekstas"/>
        <w:rPr>
          <w:sz w:val="26"/>
        </w:rPr>
      </w:pPr>
    </w:p>
    <w:p w:rsidR="001B51B5" w:rsidRDefault="001B51B5">
      <w:pPr>
        <w:pStyle w:val="Pagrindinistekstas"/>
        <w:rPr>
          <w:sz w:val="26"/>
        </w:rPr>
      </w:pPr>
    </w:p>
    <w:p w:rsidR="001B51B5" w:rsidRDefault="001B51B5">
      <w:pPr>
        <w:pStyle w:val="Pagrindinistekstas"/>
        <w:rPr>
          <w:sz w:val="26"/>
        </w:rPr>
      </w:pPr>
    </w:p>
    <w:p w:rsidR="001B51B5" w:rsidRDefault="001B51B5">
      <w:pPr>
        <w:pStyle w:val="Pagrindinistekstas"/>
        <w:rPr>
          <w:sz w:val="26"/>
        </w:rPr>
      </w:pPr>
    </w:p>
    <w:p w:rsidR="001B51B5" w:rsidRDefault="001B51B5">
      <w:pPr>
        <w:pStyle w:val="Pagrindinistekstas"/>
        <w:rPr>
          <w:sz w:val="26"/>
        </w:rPr>
      </w:pPr>
    </w:p>
    <w:p w:rsidR="001B51B5" w:rsidRDefault="001B51B5">
      <w:pPr>
        <w:pStyle w:val="Pagrindinistekstas"/>
        <w:rPr>
          <w:sz w:val="26"/>
        </w:rPr>
      </w:pPr>
    </w:p>
    <w:p w:rsidR="001B51B5" w:rsidRDefault="001B51B5">
      <w:pPr>
        <w:pStyle w:val="Pagrindinistekstas"/>
        <w:rPr>
          <w:sz w:val="26"/>
        </w:rPr>
      </w:pPr>
    </w:p>
    <w:p w:rsidR="001B51B5" w:rsidRDefault="001B51B5">
      <w:pPr>
        <w:pStyle w:val="Pagrindinistekstas"/>
        <w:rPr>
          <w:sz w:val="26"/>
        </w:rPr>
      </w:pPr>
    </w:p>
    <w:p w:rsidR="001B51B5" w:rsidRDefault="001B51B5">
      <w:pPr>
        <w:pStyle w:val="Pagrindinistekstas"/>
        <w:rPr>
          <w:sz w:val="26"/>
        </w:rPr>
      </w:pPr>
    </w:p>
    <w:p w:rsidR="001B51B5" w:rsidRDefault="001B51B5">
      <w:pPr>
        <w:pStyle w:val="Pagrindinistekstas"/>
        <w:rPr>
          <w:sz w:val="26"/>
        </w:rPr>
      </w:pPr>
    </w:p>
    <w:p w:rsidR="001B51B5" w:rsidRDefault="001B51B5">
      <w:pPr>
        <w:pStyle w:val="Pagrindinistekstas"/>
        <w:rPr>
          <w:sz w:val="26"/>
        </w:rPr>
      </w:pPr>
    </w:p>
    <w:p w:rsidR="001B51B5" w:rsidRDefault="001B51B5">
      <w:pPr>
        <w:pStyle w:val="Pagrindinistekstas"/>
        <w:rPr>
          <w:sz w:val="26"/>
        </w:rPr>
      </w:pPr>
    </w:p>
    <w:p w:rsidR="001B51B5" w:rsidRDefault="001B51B5">
      <w:pPr>
        <w:pStyle w:val="Pagrindinistekstas"/>
        <w:rPr>
          <w:sz w:val="26"/>
        </w:rPr>
      </w:pPr>
    </w:p>
    <w:p w:rsidR="001B51B5" w:rsidRDefault="001B51B5">
      <w:pPr>
        <w:pStyle w:val="Pagrindinistekstas"/>
        <w:rPr>
          <w:sz w:val="26"/>
        </w:rPr>
      </w:pPr>
    </w:p>
    <w:p w:rsidR="001B51B5" w:rsidRDefault="001B51B5">
      <w:pPr>
        <w:pStyle w:val="Pagrindinistekstas"/>
        <w:rPr>
          <w:sz w:val="26"/>
        </w:rPr>
      </w:pPr>
    </w:p>
    <w:p w:rsidR="001B51B5" w:rsidRDefault="001B51B5">
      <w:pPr>
        <w:pStyle w:val="Pagrindinistekstas"/>
        <w:rPr>
          <w:sz w:val="26"/>
        </w:rPr>
      </w:pPr>
    </w:p>
    <w:p w:rsidR="001B51B5" w:rsidRDefault="001B51B5">
      <w:pPr>
        <w:pStyle w:val="Pagrindinistekstas"/>
        <w:rPr>
          <w:sz w:val="26"/>
        </w:rPr>
      </w:pPr>
    </w:p>
    <w:p w:rsidR="001B51B5" w:rsidRDefault="00063312">
      <w:pPr>
        <w:pStyle w:val="Pagrindinistekstas"/>
        <w:spacing w:before="208"/>
        <w:ind w:left="164"/>
      </w:pPr>
      <w:r>
        <w:t>Parengė</w:t>
      </w:r>
    </w:p>
    <w:p w:rsidR="001B51B5" w:rsidRDefault="001B51B5">
      <w:pPr>
        <w:pStyle w:val="Pagrindinistekstas"/>
      </w:pPr>
    </w:p>
    <w:p w:rsidR="001B51B5" w:rsidRDefault="00063312">
      <w:pPr>
        <w:pStyle w:val="Pagrindinistekstas"/>
        <w:spacing w:line="250" w:lineRule="exact"/>
        <w:ind w:left="164"/>
      </w:pPr>
      <w:r>
        <w:t xml:space="preserve">Gintutė </w:t>
      </w:r>
      <w:proofErr w:type="spellStart"/>
      <w:r>
        <w:t>Žagarienė</w:t>
      </w:r>
      <w:proofErr w:type="spellEnd"/>
    </w:p>
    <w:p w:rsidR="001B51B5" w:rsidRDefault="00063312">
      <w:pPr>
        <w:spacing w:before="5" w:line="192" w:lineRule="auto"/>
        <w:ind w:left="164"/>
        <w:rPr>
          <w:b/>
        </w:rPr>
      </w:pPr>
      <w:r>
        <w:rPr>
          <w:b/>
          <w:spacing w:val="-159"/>
        </w:rPr>
        <w:t>N</w:t>
      </w:r>
      <w:r>
        <w:rPr>
          <w:position w:val="-6"/>
          <w:sz w:val="24"/>
        </w:rPr>
        <w:t>2</w:t>
      </w:r>
      <w:r>
        <w:rPr>
          <w:spacing w:val="-83"/>
          <w:position w:val="-6"/>
          <w:sz w:val="24"/>
        </w:rPr>
        <w:t>0</w:t>
      </w:r>
      <w:r>
        <w:rPr>
          <w:b/>
          <w:spacing w:val="-41"/>
        </w:rPr>
        <w:t>u</w:t>
      </w:r>
      <w:r>
        <w:rPr>
          <w:spacing w:val="-80"/>
          <w:position w:val="-6"/>
          <w:sz w:val="24"/>
        </w:rPr>
        <w:t>2</w:t>
      </w:r>
      <w:r>
        <w:rPr>
          <w:b/>
          <w:spacing w:val="-31"/>
        </w:rPr>
        <w:t>o</w:t>
      </w:r>
      <w:r>
        <w:rPr>
          <w:spacing w:val="-90"/>
          <w:position w:val="-6"/>
          <w:sz w:val="24"/>
        </w:rPr>
        <w:t>1</w:t>
      </w:r>
      <w:r>
        <w:rPr>
          <w:b/>
          <w:spacing w:val="-8"/>
        </w:rPr>
        <w:t>r</w:t>
      </w:r>
      <w:r>
        <w:rPr>
          <w:spacing w:val="-72"/>
          <w:position w:val="-6"/>
          <w:sz w:val="24"/>
        </w:rPr>
        <w:t>-</w:t>
      </w:r>
      <w:r>
        <w:rPr>
          <w:b/>
          <w:spacing w:val="-38"/>
        </w:rPr>
        <w:t>a</w:t>
      </w:r>
      <w:r>
        <w:rPr>
          <w:spacing w:val="-82"/>
          <w:position w:val="-6"/>
          <w:sz w:val="24"/>
        </w:rPr>
        <w:t>1</w:t>
      </w:r>
      <w:r>
        <w:rPr>
          <w:b/>
          <w:spacing w:val="-4"/>
        </w:rPr>
        <w:t>š</w:t>
      </w:r>
      <w:r>
        <w:rPr>
          <w:spacing w:val="-117"/>
          <w:position w:val="-6"/>
          <w:sz w:val="24"/>
        </w:rPr>
        <w:t>2</w:t>
      </w:r>
      <w:proofErr w:type="spellStart"/>
      <w:r>
        <w:rPr>
          <w:b/>
        </w:rPr>
        <w:t>a</w:t>
      </w:r>
      <w:r>
        <w:rPr>
          <w:b/>
          <w:spacing w:val="-80"/>
        </w:rPr>
        <w:t>s</w:t>
      </w:r>
      <w:proofErr w:type="spellEnd"/>
      <w:r>
        <w:rPr>
          <w:position w:val="-6"/>
          <w:sz w:val="24"/>
        </w:rPr>
        <w:t>-</w:t>
      </w:r>
      <w:r>
        <w:rPr>
          <w:spacing w:val="-67"/>
          <w:position w:val="-6"/>
          <w:sz w:val="24"/>
        </w:rPr>
        <w:t>1</w:t>
      </w:r>
      <w:r>
        <w:rPr>
          <w:b/>
          <w:spacing w:val="-7"/>
        </w:rPr>
        <w:t>t</w:t>
      </w:r>
      <w:r>
        <w:rPr>
          <w:spacing w:val="-113"/>
          <w:position w:val="-6"/>
          <w:sz w:val="24"/>
        </w:rPr>
        <w:t>3</w:t>
      </w:r>
      <w:r>
        <w:rPr>
          <w:b/>
        </w:rPr>
        <w:t>i</w:t>
      </w:r>
      <w:r>
        <w:rPr>
          <w:b/>
          <w:spacing w:val="-1"/>
        </w:rPr>
        <w:t>k</w:t>
      </w:r>
      <w:r>
        <w:rPr>
          <w:b/>
        </w:rPr>
        <w:t>r</w:t>
      </w:r>
      <w:r>
        <w:rPr>
          <w:b/>
          <w:spacing w:val="-2"/>
        </w:rPr>
        <w:t>a</w:t>
      </w:r>
      <w:r>
        <w:rPr>
          <w:b/>
        </w:rPr>
        <w:t>s</w:t>
      </w:r>
    </w:p>
    <w:p w:rsidR="001B51B5" w:rsidRDefault="001B51B5">
      <w:pPr>
        <w:spacing w:line="192" w:lineRule="auto"/>
        <w:sectPr w:rsidR="001B51B5">
          <w:pgSz w:w="11910" w:h="16840"/>
          <w:pgMar w:top="520" w:right="380" w:bottom="840" w:left="1540" w:header="0" w:footer="654" w:gutter="0"/>
          <w:cols w:space="1296"/>
        </w:sectPr>
      </w:pPr>
    </w:p>
    <w:p w:rsidR="001B51B5" w:rsidRDefault="001B51B5">
      <w:pPr>
        <w:pStyle w:val="Pagrindinistekstas"/>
        <w:rPr>
          <w:b/>
          <w:sz w:val="20"/>
        </w:rPr>
      </w:pPr>
    </w:p>
    <w:p w:rsidR="001B51B5" w:rsidRDefault="001B51B5">
      <w:pPr>
        <w:pStyle w:val="Pagrindinistekstas"/>
        <w:rPr>
          <w:b/>
          <w:sz w:val="20"/>
        </w:rPr>
      </w:pPr>
    </w:p>
    <w:p w:rsidR="001B51B5" w:rsidRDefault="001B51B5">
      <w:pPr>
        <w:pStyle w:val="Pagrindinistekstas"/>
        <w:rPr>
          <w:b/>
          <w:sz w:val="20"/>
        </w:rPr>
      </w:pPr>
    </w:p>
    <w:p w:rsidR="001B51B5" w:rsidRDefault="001B51B5">
      <w:pPr>
        <w:pStyle w:val="Pagrindinistekstas"/>
        <w:rPr>
          <w:b/>
          <w:sz w:val="20"/>
        </w:rPr>
      </w:pPr>
    </w:p>
    <w:p w:rsidR="001B51B5" w:rsidRDefault="001B51B5">
      <w:pPr>
        <w:pStyle w:val="Pagrindinistekstas"/>
        <w:spacing w:before="9"/>
        <w:rPr>
          <w:b/>
          <w:sz w:val="27"/>
        </w:rPr>
      </w:pPr>
    </w:p>
    <w:p w:rsidR="001B51B5" w:rsidRDefault="001B51B5">
      <w:pPr>
        <w:spacing w:line="508" w:lineRule="auto"/>
        <w:ind w:left="3"/>
        <w:jc w:val="center"/>
        <w:rPr>
          <w:rFonts w:ascii="Courier New"/>
          <w:sz w:val="27"/>
        </w:rPr>
      </w:pPr>
      <w:bookmarkStart w:id="0" w:name="_GoBack"/>
      <w:bookmarkEnd w:id="0"/>
    </w:p>
    <w:sectPr w:rsidR="001B51B5">
      <w:footerReference w:type="default" r:id="rId9"/>
      <w:pgSz w:w="12000" w:h="8000" w:orient="landscape"/>
      <w:pgMar w:top="720" w:right="380" w:bottom="280" w:left="38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12" w:rsidRDefault="00063312">
      <w:r>
        <w:separator/>
      </w:r>
    </w:p>
  </w:endnote>
  <w:endnote w:type="continuationSeparator" w:id="0">
    <w:p w:rsidR="00063312" w:rsidRDefault="0006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1B5" w:rsidRDefault="00063312">
    <w:pPr>
      <w:pStyle w:val="Pagrindinisteksta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2pt;margin-top:795.8pt;width:119.85pt;height:31.9pt;z-index:-251658752;mso-position-horizontal-relative:page;mso-position-vertical-relative:page" filled="f" stroked="f">
          <v:textbox inset="0,0,0,0">
            <w:txbxContent>
              <w:p w:rsidR="001B51B5" w:rsidRDefault="00063312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</w:rPr>
                  <w:t>Biržų rajono savivaldybė</w:t>
                </w:r>
              </w:p>
              <w:p w:rsidR="001B51B5" w:rsidRDefault="00063312">
                <w:pPr>
                  <w:spacing w:before="101"/>
                  <w:ind w:left="20"/>
                  <w:rPr>
                    <w:b/>
                  </w:rPr>
                </w:pPr>
                <w:r>
                  <w:rPr>
                    <w:b/>
                  </w:rPr>
                  <w:t>2021-12-27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1B5" w:rsidRDefault="001B51B5">
    <w:pPr>
      <w:pStyle w:val="Pagrindinistekstas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12" w:rsidRDefault="00063312">
      <w:r>
        <w:separator/>
      </w:r>
    </w:p>
  </w:footnote>
  <w:footnote w:type="continuationSeparator" w:id="0">
    <w:p w:rsidR="00063312" w:rsidRDefault="00063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52F33"/>
    <w:multiLevelType w:val="hybridMultilevel"/>
    <w:tmpl w:val="DEE224F4"/>
    <w:lvl w:ilvl="0" w:tplc="FDCC2A00">
      <w:start w:val="1"/>
      <w:numFmt w:val="decimal"/>
      <w:lvlText w:val="%1."/>
      <w:lvlJc w:val="left"/>
      <w:pPr>
        <w:ind w:left="994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t-LT" w:eastAsia="lt-LT" w:bidi="lt-LT"/>
      </w:rPr>
    </w:lvl>
    <w:lvl w:ilvl="1" w:tplc="A67C58E2">
      <w:numFmt w:val="bullet"/>
      <w:lvlText w:val="•"/>
      <w:lvlJc w:val="left"/>
      <w:pPr>
        <w:ind w:left="1898" w:hanging="360"/>
      </w:pPr>
      <w:rPr>
        <w:rFonts w:hint="default"/>
        <w:lang w:val="lt-LT" w:eastAsia="lt-LT" w:bidi="lt-LT"/>
      </w:rPr>
    </w:lvl>
    <w:lvl w:ilvl="2" w:tplc="54B061F4">
      <w:numFmt w:val="bullet"/>
      <w:lvlText w:val="•"/>
      <w:lvlJc w:val="left"/>
      <w:pPr>
        <w:ind w:left="2797" w:hanging="360"/>
      </w:pPr>
      <w:rPr>
        <w:rFonts w:hint="default"/>
        <w:lang w:val="lt-LT" w:eastAsia="lt-LT" w:bidi="lt-LT"/>
      </w:rPr>
    </w:lvl>
    <w:lvl w:ilvl="3" w:tplc="4D6ED4BC">
      <w:numFmt w:val="bullet"/>
      <w:lvlText w:val="•"/>
      <w:lvlJc w:val="left"/>
      <w:pPr>
        <w:ind w:left="3695" w:hanging="360"/>
      </w:pPr>
      <w:rPr>
        <w:rFonts w:hint="default"/>
        <w:lang w:val="lt-LT" w:eastAsia="lt-LT" w:bidi="lt-LT"/>
      </w:rPr>
    </w:lvl>
    <w:lvl w:ilvl="4" w:tplc="E02EF0E4">
      <w:numFmt w:val="bullet"/>
      <w:lvlText w:val="•"/>
      <w:lvlJc w:val="left"/>
      <w:pPr>
        <w:ind w:left="4594" w:hanging="360"/>
      </w:pPr>
      <w:rPr>
        <w:rFonts w:hint="default"/>
        <w:lang w:val="lt-LT" w:eastAsia="lt-LT" w:bidi="lt-LT"/>
      </w:rPr>
    </w:lvl>
    <w:lvl w:ilvl="5" w:tplc="FBAEE330">
      <w:numFmt w:val="bullet"/>
      <w:lvlText w:val="•"/>
      <w:lvlJc w:val="left"/>
      <w:pPr>
        <w:ind w:left="5493" w:hanging="360"/>
      </w:pPr>
      <w:rPr>
        <w:rFonts w:hint="default"/>
        <w:lang w:val="lt-LT" w:eastAsia="lt-LT" w:bidi="lt-LT"/>
      </w:rPr>
    </w:lvl>
    <w:lvl w:ilvl="6" w:tplc="3B488EC8">
      <w:numFmt w:val="bullet"/>
      <w:lvlText w:val="•"/>
      <w:lvlJc w:val="left"/>
      <w:pPr>
        <w:ind w:left="6391" w:hanging="360"/>
      </w:pPr>
      <w:rPr>
        <w:rFonts w:hint="default"/>
        <w:lang w:val="lt-LT" w:eastAsia="lt-LT" w:bidi="lt-LT"/>
      </w:rPr>
    </w:lvl>
    <w:lvl w:ilvl="7" w:tplc="F3D274F8">
      <w:numFmt w:val="bullet"/>
      <w:lvlText w:val="•"/>
      <w:lvlJc w:val="left"/>
      <w:pPr>
        <w:ind w:left="7290" w:hanging="360"/>
      </w:pPr>
      <w:rPr>
        <w:rFonts w:hint="default"/>
        <w:lang w:val="lt-LT" w:eastAsia="lt-LT" w:bidi="lt-LT"/>
      </w:rPr>
    </w:lvl>
    <w:lvl w:ilvl="8" w:tplc="A8684A68">
      <w:numFmt w:val="bullet"/>
      <w:lvlText w:val="•"/>
      <w:lvlJc w:val="left"/>
      <w:pPr>
        <w:ind w:left="8188" w:hanging="360"/>
      </w:pPr>
      <w:rPr>
        <w:rFonts w:hint="default"/>
        <w:lang w:val="lt-LT" w:eastAsia="lt-LT" w:bidi="lt-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B51B5"/>
    <w:rsid w:val="00063312"/>
    <w:rsid w:val="001B51B5"/>
    <w:rsid w:val="00C8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75B0106-BC6E-4F8C-A6EA-9E720567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paragraph" w:styleId="Antrat1">
    <w:name w:val="heading 1"/>
    <w:basedOn w:val="prastasis"/>
    <w:uiPriority w:val="1"/>
    <w:qFormat/>
    <w:pPr>
      <w:ind w:left="89" w:right="109"/>
      <w:jc w:val="center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994" w:hanging="360"/>
      <w:jc w:val="both"/>
    </w:pPr>
  </w:style>
  <w:style w:type="paragraph" w:customStyle="1" w:styleId="TableParagraph">
    <w:name w:val="Table Paragraph"/>
    <w:basedOn w:val="prastasis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1778</Words>
  <Characters>1014</Characters>
  <Application>Microsoft Office Word</Application>
  <DocSecurity>0</DocSecurity>
  <Lines>8</Lines>
  <Paragraphs>5</Paragraphs>
  <ScaleCrop>false</ScaleCrop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Vaiva</cp:lastModifiedBy>
  <cp:revision>2</cp:revision>
  <dcterms:created xsi:type="dcterms:W3CDTF">2022-01-13T08:42:00Z</dcterms:created>
  <dcterms:modified xsi:type="dcterms:W3CDTF">2022-01-13T08:43:00Z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LastSaved">
    <vt:filetime>2022-01-13T00:00:00Z</vt:filetime>
  </property>
</Properties>
</file>