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68" w:rsidRPr="00C62468" w:rsidRDefault="00C62468" w:rsidP="00C62468">
      <w:pPr>
        <w:spacing w:after="0" w:line="240" w:lineRule="auto"/>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PATVIRTINTA</w:t>
      </w:r>
    </w:p>
    <w:p w:rsidR="00C62468" w:rsidRPr="00C62468" w:rsidRDefault="00C62468" w:rsidP="00C62468">
      <w:pPr>
        <w:spacing w:after="0" w:line="240" w:lineRule="auto"/>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                              Biržų rajono Kirdonių universalaus</w:t>
      </w:r>
    </w:p>
    <w:p w:rsidR="00C62468" w:rsidRPr="00C62468" w:rsidRDefault="00C62468" w:rsidP="00C62468">
      <w:pPr>
        <w:spacing w:after="0" w:line="240" w:lineRule="auto"/>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                            daugiafunkcio centro direktoriaus </w:t>
      </w:r>
    </w:p>
    <w:p w:rsidR="00C62468" w:rsidRPr="00C62468" w:rsidRDefault="00C62468" w:rsidP="00C62468">
      <w:pPr>
        <w:spacing w:after="0" w:line="240" w:lineRule="auto"/>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                                      2021 m. vasario 26 d. įsakymu Nr. V-10</w:t>
      </w:r>
    </w:p>
    <w:p w:rsidR="00C62468" w:rsidRPr="00C62468" w:rsidRDefault="00C62468" w:rsidP="00C62468">
      <w:pPr>
        <w:spacing w:after="0" w:line="240" w:lineRule="auto"/>
        <w:jc w:val="both"/>
        <w:rPr>
          <w:rFonts w:ascii="Times New Roman" w:eastAsia="Calibri" w:hAnsi="Times New Roman" w:cs="Times New Roman"/>
          <w:sz w:val="24"/>
          <w:szCs w:val="24"/>
        </w:rPr>
      </w:pPr>
    </w:p>
    <w:p w:rsidR="00C62468" w:rsidRPr="00C62468" w:rsidRDefault="00C62468" w:rsidP="00C62468">
      <w:pPr>
        <w:spacing w:after="0" w:line="24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                                                                   </w:t>
      </w:r>
    </w:p>
    <w:p w:rsidR="00C62468" w:rsidRPr="00C62468" w:rsidRDefault="00C62468" w:rsidP="00C62468">
      <w:pPr>
        <w:spacing w:after="0" w:line="240" w:lineRule="auto"/>
        <w:jc w:val="center"/>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sz w:val="24"/>
          <w:szCs w:val="24"/>
        </w:rPr>
      </w:pPr>
    </w:p>
    <w:p w:rsidR="00C62468" w:rsidRPr="00C62468" w:rsidRDefault="00C62468" w:rsidP="00C62468">
      <w:pPr>
        <w:spacing w:after="0" w:line="240" w:lineRule="auto"/>
        <w:jc w:val="both"/>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b/>
          <w:sz w:val="44"/>
          <w:szCs w:val="44"/>
        </w:rPr>
      </w:pPr>
      <w:r w:rsidRPr="00C62468">
        <w:rPr>
          <w:rFonts w:ascii="Times New Roman" w:eastAsia="Calibri" w:hAnsi="Times New Roman" w:cs="Times New Roman"/>
          <w:b/>
          <w:sz w:val="44"/>
          <w:szCs w:val="44"/>
        </w:rPr>
        <w:t xml:space="preserve">BIRŽŲ RAJONO KIRDONIŲ UNIVERSALAUS DAUGIAFUNKCIO CENTRO 2021 - 2023 METŲ STRATEGINIS VEIKLOS PLANAS </w:t>
      </w:r>
    </w:p>
    <w:p w:rsidR="00C62468" w:rsidRPr="00C62468" w:rsidRDefault="00C62468" w:rsidP="00C62468">
      <w:pPr>
        <w:spacing w:after="0" w:line="240" w:lineRule="auto"/>
        <w:jc w:val="both"/>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br w:type="page"/>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TURINYS</w:t>
      </w:r>
    </w:p>
    <w:p w:rsidR="00C62468" w:rsidRPr="00C62468" w:rsidRDefault="00C62468" w:rsidP="00C62468">
      <w:pPr>
        <w:spacing w:after="0" w:line="240" w:lineRule="auto"/>
        <w:jc w:val="both"/>
        <w:rPr>
          <w:rFonts w:ascii="Times New Roman" w:eastAsia="Calibri" w:hAnsi="Times New Roman" w:cs="Times New Roman"/>
          <w:b/>
          <w:bCs/>
          <w:sz w:val="24"/>
          <w:szCs w:val="24"/>
        </w:rPr>
      </w:pPr>
    </w:p>
    <w:sdt>
      <w:sdtPr>
        <w:rPr>
          <w:rFonts w:ascii="Calibri" w:eastAsia="Calibri" w:hAnsi="Calibri" w:cs="Times New Roman"/>
        </w:rPr>
        <w:id w:val="1518423056"/>
        <w:docPartObj>
          <w:docPartGallery w:val="Table of Contents"/>
          <w:docPartUnique/>
        </w:docPartObj>
      </w:sdtPr>
      <w:sdtContent>
        <w:p w:rsidR="00C62468" w:rsidRPr="00C62468" w:rsidRDefault="00C62468" w:rsidP="00C62468">
          <w:pPr>
            <w:keepNext/>
            <w:keepLines/>
            <w:spacing w:before="240" w:after="0"/>
            <w:rPr>
              <w:rFonts w:ascii="Calibri Light" w:eastAsia="Times New Roman" w:hAnsi="Calibri Light" w:cs="Times New Roman"/>
              <w:sz w:val="32"/>
              <w:szCs w:val="32"/>
              <w:lang w:eastAsia="lt-LT"/>
            </w:rPr>
          </w:pPr>
          <w:r w:rsidRPr="00C62468">
            <w:rPr>
              <w:rFonts w:ascii="Calibri Light" w:eastAsia="Times New Roman" w:hAnsi="Calibri Light" w:cs="Times New Roman"/>
              <w:b/>
              <w:sz w:val="32"/>
              <w:szCs w:val="32"/>
              <w:lang w:eastAsia="lt-LT"/>
            </w:rPr>
            <w:t>1.</w:t>
          </w:r>
          <w:r w:rsidRPr="00C62468">
            <w:rPr>
              <w:rFonts w:ascii="Times New Roman" w:eastAsia="Times New Roman" w:hAnsi="Times New Roman" w:cs="Times New Roman"/>
              <w:b/>
              <w:bCs/>
              <w:sz w:val="28"/>
              <w:szCs w:val="28"/>
              <w:lang w:eastAsia="lt-LT"/>
            </w:rPr>
            <w:t xml:space="preserve">ĮVADAS </w:t>
          </w:r>
          <w:r w:rsidRPr="00C62468">
            <w:rPr>
              <w:rFonts w:ascii="Calibri Light" w:eastAsia="Times New Roman" w:hAnsi="Calibri Light" w:cs="Times New Roman"/>
              <w:sz w:val="32"/>
              <w:szCs w:val="32"/>
              <w:lang w:eastAsia="lt-LT"/>
            </w:rPr>
            <w:ptab w:relativeTo="margin" w:alignment="right" w:leader="dot"/>
          </w:r>
          <w:r w:rsidRPr="00C62468">
            <w:rPr>
              <w:rFonts w:ascii="Times New Roman" w:eastAsia="Times New Roman" w:hAnsi="Times New Roman" w:cs="Times New Roman"/>
              <w:b/>
              <w:bCs/>
              <w:sz w:val="24"/>
              <w:szCs w:val="24"/>
              <w:lang w:eastAsia="lt-LT"/>
            </w:rPr>
            <w:t>3</w:t>
          </w:r>
        </w:p>
        <w:p w:rsidR="00C62468" w:rsidRPr="00C62468" w:rsidRDefault="00C62468" w:rsidP="00C62468">
          <w:pPr>
            <w:spacing w:after="100"/>
            <w:rPr>
              <w:rFonts w:ascii="Calibri" w:eastAsia="Times New Roman" w:hAnsi="Calibri" w:cs="Times New Roman"/>
              <w:lang w:eastAsia="lt-LT"/>
            </w:rPr>
          </w:pPr>
          <w:r w:rsidRPr="00C62468">
            <w:rPr>
              <w:rFonts w:ascii="Times New Roman" w:eastAsia="Times New Roman" w:hAnsi="Times New Roman" w:cs="Times New Roman"/>
              <w:b/>
              <w:bCs/>
              <w:sz w:val="28"/>
              <w:szCs w:val="28"/>
              <w:lang w:eastAsia="lt-LT"/>
            </w:rPr>
            <w:t xml:space="preserve">2. ESAMOS BŪKLĖS ANALIZĖ </w:t>
          </w:r>
          <w:r w:rsidRPr="00C62468">
            <w:rPr>
              <w:rFonts w:ascii="Calibri" w:eastAsia="Times New Roman" w:hAnsi="Calibri" w:cs="Times New Roman"/>
              <w:lang w:eastAsia="lt-LT"/>
            </w:rPr>
            <w:ptab w:relativeTo="margin" w:alignment="right" w:leader="dot"/>
          </w:r>
          <w:r w:rsidRPr="00C62468">
            <w:rPr>
              <w:rFonts w:ascii="Calibri" w:eastAsia="Times New Roman" w:hAnsi="Calibri" w:cs="Times New Roman"/>
              <w:lang w:eastAsia="lt-LT"/>
            </w:rPr>
            <w:t>4</w:t>
          </w:r>
        </w:p>
        <w:p w:rsidR="00C62468" w:rsidRPr="00C62468" w:rsidRDefault="00C62468" w:rsidP="00C62468">
          <w:pPr>
            <w:spacing w:after="100"/>
            <w:rPr>
              <w:rFonts w:ascii="Calibri" w:eastAsia="Times New Roman" w:hAnsi="Calibri" w:cs="Times New Roman"/>
              <w:lang w:eastAsia="lt-LT"/>
            </w:rPr>
          </w:pPr>
          <w:r w:rsidRPr="00C62468">
            <w:rPr>
              <w:rFonts w:ascii="Times New Roman" w:eastAsia="Times New Roman" w:hAnsi="Times New Roman" w:cs="Times New Roman"/>
              <w:b/>
              <w:bCs/>
              <w:sz w:val="24"/>
              <w:szCs w:val="24"/>
              <w:lang w:eastAsia="lt-LT"/>
            </w:rPr>
            <w:t xml:space="preserve">2.1.Veiklos analizė </w:t>
          </w:r>
          <w:r w:rsidRPr="00C62468">
            <w:rPr>
              <w:rFonts w:ascii="Calibri" w:eastAsia="Times New Roman" w:hAnsi="Calibri" w:cs="Times New Roman"/>
              <w:lang w:eastAsia="lt-LT"/>
            </w:rPr>
            <w:ptab w:relativeTo="margin" w:alignment="right" w:leader="dot"/>
          </w:r>
          <w:r w:rsidRPr="00C62468">
            <w:rPr>
              <w:rFonts w:ascii="Calibri" w:eastAsia="Times New Roman" w:hAnsi="Calibri" w:cs="Times New Roman"/>
              <w:lang w:eastAsia="lt-LT"/>
            </w:rPr>
            <w:t>4</w:t>
          </w:r>
        </w:p>
        <w:p w:rsidR="00C62468" w:rsidRPr="00C62468" w:rsidRDefault="00C62468" w:rsidP="00C62468">
          <w:pPr>
            <w:spacing w:after="100"/>
            <w:rPr>
              <w:rFonts w:ascii="Calibri" w:eastAsia="Times New Roman" w:hAnsi="Calibri" w:cs="Times New Roman"/>
              <w:lang w:eastAsia="lt-LT"/>
            </w:rPr>
          </w:pPr>
          <w:r w:rsidRPr="00C62468">
            <w:rPr>
              <w:rFonts w:ascii="Times New Roman" w:eastAsia="Times New Roman" w:hAnsi="Times New Roman" w:cs="Times New Roman"/>
              <w:b/>
              <w:bCs/>
              <w:sz w:val="24"/>
              <w:szCs w:val="24"/>
              <w:lang w:eastAsia="lt-LT"/>
            </w:rPr>
            <w:t xml:space="preserve">       2.2.Žmogiškųjų išteklių analizė </w:t>
          </w:r>
          <w:r w:rsidRPr="00C62468">
            <w:rPr>
              <w:rFonts w:ascii="Calibri" w:eastAsia="Times New Roman" w:hAnsi="Calibri" w:cs="Times New Roman"/>
              <w:lang w:eastAsia="lt-LT"/>
            </w:rPr>
            <w:ptab w:relativeTo="margin" w:alignment="right" w:leader="dot"/>
          </w:r>
          <w:r w:rsidRPr="00C62468">
            <w:rPr>
              <w:rFonts w:ascii="Calibri" w:eastAsia="Times New Roman" w:hAnsi="Calibri" w:cs="Times New Roman"/>
              <w:b/>
              <w:bCs/>
              <w:lang w:eastAsia="lt-LT"/>
            </w:rPr>
            <w:t>6</w:t>
          </w:r>
        </w:p>
        <w:p w:rsidR="00C62468" w:rsidRPr="00C62468" w:rsidRDefault="00C62468" w:rsidP="00C62468">
          <w:pPr>
            <w:spacing w:after="100"/>
            <w:rPr>
              <w:rFonts w:ascii="Calibri" w:eastAsia="Times New Roman" w:hAnsi="Calibri" w:cs="Times New Roman"/>
              <w:lang w:eastAsia="lt-LT"/>
            </w:rPr>
          </w:pPr>
          <w:r w:rsidRPr="00C62468">
            <w:rPr>
              <w:rFonts w:ascii="Times New Roman" w:eastAsia="Times New Roman" w:hAnsi="Times New Roman" w:cs="Times New Roman"/>
              <w:b/>
              <w:bCs/>
              <w:sz w:val="24"/>
              <w:szCs w:val="24"/>
              <w:lang w:eastAsia="lt-LT"/>
            </w:rPr>
            <w:t xml:space="preserve">   2.3.Infrastruktūros analizė</w:t>
          </w:r>
          <w:r w:rsidRPr="00C62468">
            <w:rPr>
              <w:rFonts w:ascii="Calibri" w:eastAsia="Times New Roman" w:hAnsi="Calibri" w:cs="Times New Roman"/>
              <w:lang w:eastAsia="lt-LT"/>
            </w:rPr>
            <w:ptab w:relativeTo="margin" w:alignment="right" w:leader="dot"/>
          </w:r>
          <w:r w:rsidRPr="00C62468">
            <w:rPr>
              <w:rFonts w:ascii="Calibri" w:eastAsia="Times New Roman" w:hAnsi="Calibri" w:cs="Times New Roman"/>
              <w:lang w:eastAsia="lt-LT"/>
            </w:rPr>
            <w:t>9</w:t>
          </w:r>
        </w:p>
        <w:p w:rsidR="00C62468" w:rsidRPr="00C62468" w:rsidRDefault="00C62468" w:rsidP="00C62468">
          <w:pPr>
            <w:spacing w:after="0" w:line="360" w:lineRule="auto"/>
            <w:jc w:val="both"/>
            <w:rPr>
              <w:rFonts w:ascii="Calibri" w:eastAsia="Calibri" w:hAnsi="Calibri" w:cs="Times New Roman"/>
              <w:lang w:eastAsia="lt-LT"/>
            </w:rPr>
          </w:pPr>
          <w:r w:rsidRPr="00C62468">
            <w:rPr>
              <w:rFonts w:ascii="Times New Roman" w:eastAsia="Calibri" w:hAnsi="Times New Roman" w:cs="Times New Roman"/>
              <w:b/>
              <w:bCs/>
              <w:sz w:val="24"/>
              <w:szCs w:val="24"/>
            </w:rPr>
            <w:t xml:space="preserve">      2.4.Finansinės būklės analizė</w:t>
          </w:r>
          <w:r w:rsidRPr="00C62468">
            <w:rPr>
              <w:rFonts w:ascii="Calibri" w:eastAsia="Calibri" w:hAnsi="Calibri" w:cs="Times New Roman"/>
            </w:rPr>
            <w:ptab w:relativeTo="margin" w:alignment="right" w:leader="dot"/>
          </w:r>
          <w:r w:rsidRPr="00C62468">
            <w:rPr>
              <w:rFonts w:ascii="Calibri" w:eastAsia="Calibri" w:hAnsi="Calibri" w:cs="Times New Roman"/>
            </w:rPr>
            <w:t>12</w:t>
          </w:r>
        </w:p>
        <w:p w:rsidR="00C62468" w:rsidRPr="00C62468" w:rsidRDefault="00C62468" w:rsidP="00C62468">
          <w:pPr>
            <w:spacing w:after="100"/>
            <w:rPr>
              <w:rFonts w:ascii="Calibri" w:eastAsia="Times New Roman" w:hAnsi="Calibri" w:cs="Times New Roman"/>
              <w:lang w:eastAsia="lt-LT"/>
            </w:rPr>
          </w:pPr>
          <w:r w:rsidRPr="00C62468">
            <w:rPr>
              <w:rFonts w:ascii="Times New Roman" w:eastAsia="Times New Roman" w:hAnsi="Times New Roman" w:cs="Times New Roman"/>
              <w:b/>
              <w:sz w:val="28"/>
              <w:szCs w:val="28"/>
              <w:lang w:eastAsia="lt-LT"/>
            </w:rPr>
            <w:t xml:space="preserve">3.IŠORINIŲ VEIKSNIŲ (PEST) ANALIZĖ </w:t>
          </w:r>
          <w:r w:rsidRPr="00C62468">
            <w:rPr>
              <w:rFonts w:ascii="Calibri" w:eastAsia="Times New Roman" w:hAnsi="Calibri" w:cs="Times New Roman"/>
              <w:lang w:eastAsia="lt-LT"/>
            </w:rPr>
            <w:ptab w:relativeTo="margin" w:alignment="right" w:leader="dot"/>
          </w:r>
          <w:r w:rsidRPr="00C62468">
            <w:rPr>
              <w:rFonts w:ascii="Calibri" w:eastAsia="Times New Roman" w:hAnsi="Calibri" w:cs="Times New Roman"/>
              <w:lang w:eastAsia="lt-LT"/>
            </w:rPr>
            <w:t>.12</w:t>
          </w:r>
        </w:p>
        <w:p w:rsidR="00C62468" w:rsidRPr="00C62468" w:rsidRDefault="00C62468" w:rsidP="00C62468">
          <w:pPr>
            <w:spacing w:after="0" w:line="360" w:lineRule="auto"/>
            <w:jc w:val="both"/>
            <w:rPr>
              <w:rFonts w:ascii="Calibri" w:eastAsia="Calibri" w:hAnsi="Calibri" w:cs="Times New Roman"/>
              <w:lang w:eastAsia="lt-LT"/>
            </w:rPr>
          </w:pPr>
          <w:r w:rsidRPr="00C62468">
            <w:rPr>
              <w:rFonts w:ascii="Times New Roman" w:eastAsia="Calibri" w:hAnsi="Times New Roman" w:cs="Times New Roman"/>
              <w:b/>
              <w:iCs/>
              <w:sz w:val="28"/>
              <w:szCs w:val="28"/>
            </w:rPr>
            <w:t>4.SSGG ANALIZĖ</w:t>
          </w:r>
          <w:r w:rsidRPr="00C62468">
            <w:rPr>
              <w:rFonts w:ascii="Calibri" w:eastAsia="Calibri" w:hAnsi="Calibri" w:cs="Times New Roman"/>
            </w:rPr>
            <w:ptab w:relativeTo="margin" w:alignment="right" w:leader="dot"/>
          </w:r>
          <w:r w:rsidRPr="00C62468">
            <w:rPr>
              <w:rFonts w:ascii="Calibri" w:eastAsia="Calibri" w:hAnsi="Calibri" w:cs="Times New Roman"/>
            </w:rPr>
            <w:t>18</w:t>
          </w:r>
        </w:p>
        <w:p w:rsidR="00C62468" w:rsidRPr="00C62468" w:rsidRDefault="00C62468" w:rsidP="00C62468">
          <w:pPr>
            <w:spacing w:after="0" w:line="240" w:lineRule="auto"/>
            <w:jc w:val="both"/>
            <w:rPr>
              <w:rFonts w:ascii="Calibri" w:eastAsia="Calibri" w:hAnsi="Calibri" w:cs="Times New Roman"/>
            </w:rPr>
          </w:pPr>
          <w:r w:rsidRPr="00C62468">
            <w:rPr>
              <w:rFonts w:ascii="Times New Roman" w:eastAsia="Calibri" w:hAnsi="Times New Roman" w:cs="Times New Roman"/>
              <w:b/>
              <w:bCs/>
              <w:sz w:val="28"/>
              <w:szCs w:val="28"/>
            </w:rPr>
            <w:t>5. 202</w:t>
          </w:r>
          <w:r w:rsidRPr="00C62468">
            <w:rPr>
              <w:rFonts w:ascii="Times New Roman" w:eastAsia="Calibri" w:hAnsi="Times New Roman" w:cs="Times New Roman"/>
              <w:b/>
              <w:bCs/>
              <w:sz w:val="28"/>
              <w:szCs w:val="28"/>
              <w:lang w:val="en-US"/>
            </w:rPr>
            <w:t>1</w:t>
          </w:r>
          <w:r w:rsidRPr="00C62468">
            <w:rPr>
              <w:rFonts w:ascii="Times New Roman" w:eastAsia="Calibri" w:hAnsi="Times New Roman" w:cs="Times New Roman"/>
              <w:b/>
              <w:bCs/>
              <w:sz w:val="28"/>
              <w:szCs w:val="28"/>
            </w:rPr>
            <w:t>-2023 M. STRATEGINIS PLANAS</w:t>
          </w:r>
          <w:r w:rsidRPr="00C62468">
            <w:rPr>
              <w:rFonts w:ascii="Calibri" w:eastAsia="Calibri" w:hAnsi="Calibri" w:cs="Times New Roman"/>
            </w:rPr>
            <w:ptab w:relativeTo="margin" w:alignment="right" w:leader="dot"/>
          </w:r>
          <w:r w:rsidRPr="00C62468">
            <w:rPr>
              <w:rFonts w:ascii="Calibri" w:eastAsia="Calibri" w:hAnsi="Calibri" w:cs="Times New Roman"/>
            </w:rPr>
            <w:t xml:space="preserve">19 </w:t>
          </w:r>
        </w:p>
        <w:p w:rsidR="00C62468" w:rsidRPr="00C62468" w:rsidRDefault="00C62468" w:rsidP="00C62468">
          <w:pPr>
            <w:spacing w:after="0" w:line="240" w:lineRule="auto"/>
            <w:jc w:val="both"/>
            <w:rPr>
              <w:rFonts w:ascii="Times New Roman" w:eastAsia="Calibri" w:hAnsi="Times New Roman" w:cs="Times New Roman"/>
              <w:b/>
              <w:bCs/>
              <w:sz w:val="28"/>
              <w:szCs w:val="28"/>
            </w:rPr>
          </w:pPr>
        </w:p>
        <w:p w:rsidR="00C62468" w:rsidRPr="00C62468" w:rsidRDefault="00C62468" w:rsidP="00C62468">
          <w:pPr>
            <w:spacing w:after="0" w:line="240" w:lineRule="auto"/>
            <w:jc w:val="both"/>
            <w:rPr>
              <w:rFonts w:ascii="Calibri" w:eastAsia="Calibri" w:hAnsi="Calibri" w:cs="Times New Roman"/>
            </w:rPr>
          </w:pPr>
          <w:r w:rsidRPr="00C62468">
            <w:rPr>
              <w:rFonts w:ascii="Times New Roman" w:eastAsia="Calibri" w:hAnsi="Times New Roman" w:cs="Times New Roman"/>
              <w:b/>
              <w:bCs/>
              <w:sz w:val="28"/>
              <w:szCs w:val="28"/>
            </w:rPr>
            <w:t xml:space="preserve">     </w:t>
          </w:r>
          <w:r w:rsidRPr="00C62468">
            <w:rPr>
              <w:rFonts w:ascii="Times New Roman" w:eastAsia="Calibri" w:hAnsi="Times New Roman" w:cs="Times New Roman"/>
              <w:b/>
              <w:bCs/>
              <w:sz w:val="24"/>
              <w:szCs w:val="24"/>
            </w:rPr>
            <w:t xml:space="preserve">5.1. </w:t>
          </w:r>
          <w:r w:rsidRPr="00C62468">
            <w:rPr>
              <w:rFonts w:ascii="Times New Roman" w:eastAsia="Times New Roman" w:hAnsi="Times New Roman" w:cs="Times New Roman"/>
              <w:b/>
              <w:bCs/>
              <w:sz w:val="24"/>
              <w:szCs w:val="24"/>
            </w:rPr>
            <w:t>Strateginio plano realizavimo stebėsena ir kontrolė</w:t>
          </w:r>
          <w:r w:rsidRPr="00C62468">
            <w:rPr>
              <w:rFonts w:ascii="Calibri" w:eastAsia="Calibri" w:hAnsi="Calibri" w:cs="Times New Roman"/>
            </w:rPr>
            <w:ptab w:relativeTo="margin" w:alignment="right" w:leader="dot"/>
          </w:r>
          <w:r w:rsidRPr="00C62468">
            <w:rPr>
              <w:rFonts w:ascii="Calibri" w:eastAsia="Calibri" w:hAnsi="Calibri" w:cs="Times New Roman"/>
            </w:rPr>
            <w:t>21</w:t>
          </w:r>
        </w:p>
        <w:p w:rsidR="00C62468" w:rsidRPr="00C62468" w:rsidRDefault="00C62468" w:rsidP="00C62468">
          <w:pPr>
            <w:spacing w:after="0" w:line="360" w:lineRule="auto"/>
            <w:jc w:val="both"/>
            <w:rPr>
              <w:rFonts w:ascii="Calibri" w:eastAsia="Calibri" w:hAnsi="Calibri" w:cs="Times New Roman"/>
              <w:lang w:eastAsia="lt-LT"/>
            </w:rPr>
          </w:pPr>
        </w:p>
        <w:p w:rsidR="00C62468" w:rsidRPr="00C62468" w:rsidRDefault="00C62468" w:rsidP="00C62468">
          <w:pPr>
            <w:spacing w:after="0" w:line="360" w:lineRule="auto"/>
            <w:jc w:val="both"/>
            <w:rPr>
              <w:rFonts w:ascii="Calibri" w:eastAsia="Calibri" w:hAnsi="Calibri" w:cs="Times New Roman"/>
              <w:lang w:eastAsia="lt-LT"/>
            </w:rPr>
          </w:pPr>
        </w:p>
        <w:p w:rsidR="00C62468" w:rsidRPr="00C62468" w:rsidRDefault="00C62468" w:rsidP="00C62468">
          <w:pPr>
            <w:spacing w:after="0" w:line="360" w:lineRule="auto"/>
            <w:contextualSpacing/>
            <w:jc w:val="both"/>
            <w:rPr>
              <w:rFonts w:ascii="Calibri" w:eastAsia="Calibri" w:hAnsi="Calibri" w:cs="Times New Roman"/>
            </w:rPr>
          </w:pPr>
        </w:p>
      </w:sdtContent>
    </w:sdt>
    <w:p w:rsidR="00C62468" w:rsidRPr="00C62468" w:rsidRDefault="00C62468" w:rsidP="00C62468">
      <w:pPr>
        <w:spacing w:after="0" w:line="360" w:lineRule="auto"/>
        <w:jc w:val="both"/>
        <w:rPr>
          <w:rFonts w:ascii="Calibri" w:eastAsia="Calibri" w:hAnsi="Calibri" w:cs="Times New Roman"/>
          <w:lang w:eastAsia="lt-LT"/>
        </w:rPr>
      </w:pPr>
    </w:p>
    <w:p w:rsidR="00C62468" w:rsidRPr="00C62468" w:rsidRDefault="00C62468" w:rsidP="00C62468">
      <w:pPr>
        <w:spacing w:after="0" w:line="240" w:lineRule="auto"/>
        <w:jc w:val="both"/>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br w:type="page"/>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8"/>
          <w:szCs w:val="28"/>
        </w:rPr>
      </w:pPr>
      <w:r w:rsidRPr="00C62468">
        <w:rPr>
          <w:rFonts w:ascii="Times New Roman" w:eastAsia="Calibri" w:hAnsi="Times New Roman" w:cs="Times New Roman"/>
          <w:b/>
          <w:bCs/>
          <w:sz w:val="28"/>
          <w:szCs w:val="28"/>
        </w:rPr>
        <w:lastRenderedPageBreak/>
        <w:t>ĮVADAS</w:t>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Biržų rajono Kirdonių universalaus daugiafunkcio centro (toliau-Centras) 202</w:t>
      </w:r>
      <w:r w:rsidRPr="00C62468">
        <w:rPr>
          <w:rFonts w:ascii="Times New Roman" w:eastAsia="Calibri" w:hAnsi="Times New Roman" w:cs="Times New Roman"/>
          <w:sz w:val="24"/>
          <w:szCs w:val="24"/>
          <w:lang w:val="en-US"/>
        </w:rPr>
        <w:t>1</w:t>
      </w:r>
      <w:r w:rsidRPr="00C62468">
        <w:rPr>
          <w:rFonts w:ascii="Times New Roman" w:eastAsia="Calibri" w:hAnsi="Times New Roman" w:cs="Times New Roman"/>
          <w:sz w:val="24"/>
          <w:szCs w:val="24"/>
        </w:rPr>
        <w:t xml:space="preserve">-2023 metų strateginis planas (toliau-Strateginis planas) parengtas atsižvelgiant į viešumo, mokymosi iš geros praktikos pavyzdžių Lietuvoje principus bei vadovaujantis: Lietuvos pažangos strategijos „Lietuva </w:t>
      </w:r>
      <w:r w:rsidRPr="00C62468">
        <w:rPr>
          <w:rFonts w:ascii="Times New Roman" w:eastAsia="Calibri" w:hAnsi="Times New Roman" w:cs="Times New Roman"/>
          <w:sz w:val="24"/>
          <w:szCs w:val="24"/>
          <w:lang w:val="en-US"/>
        </w:rPr>
        <w:t xml:space="preserve">2030” </w:t>
      </w:r>
      <w:r w:rsidRPr="00C62468">
        <w:rPr>
          <w:rFonts w:ascii="Times New Roman" w:eastAsia="Calibri" w:hAnsi="Times New Roman" w:cs="Times New Roman"/>
          <w:sz w:val="24"/>
          <w:szCs w:val="24"/>
        </w:rPr>
        <w:t>raidos</w:t>
      </w:r>
      <w:r w:rsidRPr="00C62468">
        <w:rPr>
          <w:rFonts w:ascii="Times New Roman" w:eastAsia="Calibri" w:hAnsi="Times New Roman" w:cs="Times New Roman"/>
          <w:sz w:val="24"/>
          <w:szCs w:val="24"/>
          <w:lang w:val="en-US"/>
        </w:rPr>
        <w:t xml:space="preserve"> </w:t>
      </w:r>
      <w:r w:rsidRPr="00C62468">
        <w:rPr>
          <w:rFonts w:ascii="Times New Roman" w:eastAsia="Calibri" w:hAnsi="Times New Roman" w:cs="Times New Roman"/>
          <w:sz w:val="24"/>
          <w:szCs w:val="24"/>
        </w:rPr>
        <w:t>veiksniu ,,sumani visuomenė“ bei jam priskiriamomis pagrindinėmis iniciatyvomis (veikli visuomenė, solidari visuomenė, besimokanti visuomenė), Lietuvos Baltosios knygos trečiuoju uždaviniu – sudaryti kokybiško gyvenimo sąlygas visoje Lietuvoje bei jam priskiriamais (užtikrinama pakankama viešųjų paslaugų kokybė visiems Lietuvos gyventojams, nepaisant to, kur jie gyvena, suderinamas paslaugų pasiekiamumo standartas visoje Lietuvos teritorijoje, užtikrinama pakankama švietimo kokybė, nepriklausanti nuo mokinių gyvenamosios vietos, gerinamas kultūros paslaugų pasiekiamumas ir gyventojų įsitraukimo lygis ir kt.) veiksmais, Biržų rajono savivaldybės 2020–2022 metų strateginio veiklos plano (Patvirtinto Biržų rajono savivaldybės tarybos 2020 m. vasario 28 d. sprendimu Nr. T-31) 1 ir 2 strateginiais tikslais (gerinti švietimo, sveikatos apsaugos ir socialinės paramos paslaugų kokybę ir prieinamumą, didinti savivaldybės valdymo efektyvumą, skatinti gyventojų iniciatyvas, kultūrinį ir sportinį aktyvumą).</w:t>
      </w: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Centro strateginį planą rengė </w:t>
      </w:r>
      <w:r w:rsidRPr="00C62468">
        <w:rPr>
          <w:rFonts w:ascii="Times New Roman" w:eastAsia="Calibri" w:hAnsi="Times New Roman" w:cs="Times New Roman"/>
          <w:b/>
          <w:bCs/>
          <w:i/>
          <w:iCs/>
          <w:sz w:val="24"/>
          <w:szCs w:val="24"/>
        </w:rPr>
        <w:t>Strateginio plano projekto rengimo komisija</w:t>
      </w:r>
      <w:r w:rsidRPr="00C62468">
        <w:rPr>
          <w:rFonts w:ascii="Times New Roman" w:eastAsia="Calibri" w:hAnsi="Times New Roman" w:cs="Times New Roman"/>
          <w:sz w:val="24"/>
          <w:szCs w:val="24"/>
        </w:rPr>
        <w:t xml:space="preserve"> (toliau-Komisija), sudaryta Kirdonių universalaus daugiafunkcio centro direktoriaus 2020 m. gruodžio 28 d.  įsakymu Nr. V-46, kurios nariai: direktorė, ūkvedė ir kultūrinės veiklos organizatorė, vyr. buhalterė, meno vadovė, priešmokyklinio ugdymo mokytoja.</w:t>
      </w:r>
    </w:p>
    <w:p w:rsidR="00C62468" w:rsidRPr="00C62468" w:rsidRDefault="00C62468" w:rsidP="00C62468">
      <w:pPr>
        <w:autoSpaceDE w:val="0"/>
        <w:autoSpaceDN w:val="0"/>
        <w:adjustRightInd w:val="0"/>
        <w:spacing w:after="12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Centro veiklos strateginis planas sudarys prielaidas kryptingai planuoti veiklą, efektyviai paskirstyti, perskirstyti finansinius bei žmogiškuosius išteklius, numatyti veiklos tikslus, būdus, perspektyvas, reikiamų lėšų kiekį tikslams įgyvendinti ir pan.</w:t>
      </w: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8"/>
          <w:szCs w:val="28"/>
        </w:rPr>
      </w:pPr>
      <w:r w:rsidRPr="00C62468">
        <w:rPr>
          <w:rFonts w:ascii="Times New Roman" w:eastAsia="Calibri" w:hAnsi="Times New Roman" w:cs="Times New Roman"/>
          <w:b/>
          <w:bCs/>
          <w:sz w:val="28"/>
          <w:szCs w:val="28"/>
        </w:rPr>
        <w:lastRenderedPageBreak/>
        <w:t>ESAMOS BŪKLĖS ANALIZĖ</w:t>
      </w:r>
    </w:p>
    <w:p w:rsidR="00C62468" w:rsidRPr="00C62468" w:rsidRDefault="00C62468" w:rsidP="00C62468">
      <w:pPr>
        <w:numPr>
          <w:ilvl w:val="1"/>
          <w:numId w:val="6"/>
        </w:numPr>
        <w:spacing w:after="0" w:line="360" w:lineRule="auto"/>
        <w:contextualSpacing/>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Veiklos analizė</w:t>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Biržų rajono Kirdonių universalus daugiafunkcis centras (toliau-Centras) yra savivaldybės biudžetinė įstaiga, įsteigta Biržų rajono savivaldybės tarybos 2016 m. sausio 28 d. sprendimu Nr. T-15. Įstaiga įregistruota Juridinių asmenų registre 2016 m. balandžio 1 d. Adresas-Žalgirio g. 17, Kirdonys, Biržų r., tel. 865780122, el. p. </w:t>
      </w:r>
      <w:hyperlink r:id="rId5" w:history="1">
        <w:r w:rsidRPr="00C62468">
          <w:rPr>
            <w:rFonts w:ascii="Times New Roman" w:eastAsia="Calibri" w:hAnsi="Times New Roman" w:cs="Times New Roman"/>
            <w:color w:val="0563C1"/>
            <w:sz w:val="24"/>
            <w:szCs w:val="24"/>
            <w:u w:val="single"/>
          </w:rPr>
          <w:t>kirdoniuudc@gmail.com</w:t>
        </w:r>
      </w:hyperlink>
      <w:r w:rsidRPr="00C62468">
        <w:rPr>
          <w:rFonts w:ascii="Times New Roman" w:eastAsia="Calibri" w:hAnsi="Times New Roman" w:cs="Times New Roman"/>
          <w:sz w:val="24"/>
          <w:szCs w:val="24"/>
        </w:rPr>
        <w:t xml:space="preserve">, </w:t>
      </w:r>
      <w:hyperlink r:id="rId6" w:history="1">
        <w:r w:rsidRPr="00C62468">
          <w:rPr>
            <w:rFonts w:ascii="Times New Roman" w:eastAsia="Calibri" w:hAnsi="Times New Roman" w:cs="Times New Roman"/>
            <w:color w:val="0563C1"/>
            <w:sz w:val="24"/>
            <w:szCs w:val="24"/>
            <w:u w:val="single"/>
          </w:rPr>
          <w:t>www.kirdoniuudc.lt</w:t>
        </w:r>
      </w:hyperlink>
      <w:r w:rsidRPr="00C62468">
        <w:rPr>
          <w:rFonts w:ascii="Times New Roman" w:eastAsia="Calibri" w:hAnsi="Times New Roman" w:cs="Times New Roman"/>
          <w:sz w:val="24"/>
          <w:szCs w:val="24"/>
        </w:rPr>
        <w:t>.</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Centre vadovaujamasi 2015 m. kovo 10 d. Ugdymo plėtotės centro direktoriaus įsakymu  Nr. VK-35 patvirtintoje Daugiafunkcių centrų koncepcijoje nurodytais veiklos principais ir jų įgyvendinimu:</w:t>
      </w:r>
    </w:p>
    <w:p w:rsidR="00C62468" w:rsidRPr="00C62468" w:rsidRDefault="00C62468" w:rsidP="00C62468">
      <w:pPr>
        <w:spacing w:after="0" w:line="240" w:lineRule="auto"/>
        <w:jc w:val="right"/>
        <w:rPr>
          <w:rFonts w:ascii="Times New Roman" w:eastAsia="Calibri" w:hAnsi="Times New Roman" w:cs="Times New Roman"/>
          <w:sz w:val="24"/>
          <w:szCs w:val="24"/>
        </w:rPr>
      </w:pPr>
      <w:bookmarkStart w:id="0" w:name="_Hlk58310334"/>
      <w:r w:rsidRPr="00C62468">
        <w:rPr>
          <w:rFonts w:ascii="Times New Roman" w:eastAsia="Calibri" w:hAnsi="Times New Roman" w:cs="Times New Roman"/>
          <w:sz w:val="24"/>
          <w:szCs w:val="24"/>
          <w:lang w:val="en-US"/>
        </w:rPr>
        <w:t>1.</w:t>
      </w:r>
      <w:r w:rsidRPr="00C62468">
        <w:rPr>
          <w:rFonts w:ascii="Times New Roman" w:eastAsia="Calibri" w:hAnsi="Times New Roman" w:cs="Times New Roman"/>
          <w:sz w:val="24"/>
          <w:szCs w:val="24"/>
        </w:rPr>
        <w:t xml:space="preserve"> lentelė.</w:t>
      </w:r>
    </w:p>
    <w:p w:rsidR="00C62468" w:rsidRPr="00C62468" w:rsidRDefault="00C62468" w:rsidP="00C62468">
      <w:pPr>
        <w:spacing w:after="0" w:line="240" w:lineRule="auto"/>
        <w:jc w:val="center"/>
        <w:rPr>
          <w:rFonts w:ascii="Times New Roman" w:eastAsia="Calibri" w:hAnsi="Times New Roman" w:cs="Times New Roman"/>
          <w:b/>
          <w:bCs/>
        </w:rPr>
      </w:pPr>
      <w:bookmarkStart w:id="1" w:name="_Hlk58310366"/>
      <w:bookmarkEnd w:id="0"/>
      <w:r w:rsidRPr="00C62468">
        <w:rPr>
          <w:rFonts w:ascii="Times New Roman" w:eastAsia="Calibri" w:hAnsi="Times New Roman" w:cs="Times New Roman"/>
          <w:b/>
          <w:bCs/>
        </w:rPr>
        <w:t>Veiklos principai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6"/>
      </w:tblGrid>
      <w:tr w:rsidR="00C62468" w:rsidRPr="00C62468" w:rsidTr="00BD7062">
        <w:tc>
          <w:tcPr>
            <w:tcW w:w="2552" w:type="dxa"/>
            <w:shd w:val="clear" w:color="auto" w:fill="auto"/>
          </w:tcPr>
          <w:bookmarkEnd w:id="1"/>
          <w:p w:rsidR="00C62468" w:rsidRPr="00C62468" w:rsidRDefault="00C62468" w:rsidP="00C62468">
            <w:pPr>
              <w:spacing w:after="0" w:line="360" w:lineRule="auto"/>
              <w:jc w:val="both"/>
              <w:rPr>
                <w:rFonts w:ascii="Times New Roman" w:eastAsia="Calibri" w:hAnsi="Times New Roman" w:cs="Times New Roman"/>
                <w:b/>
                <w:bCs/>
              </w:rPr>
            </w:pPr>
            <w:r w:rsidRPr="00C62468">
              <w:rPr>
                <w:rFonts w:ascii="Times New Roman" w:eastAsia="Calibri" w:hAnsi="Times New Roman" w:cs="Times New Roman"/>
                <w:b/>
                <w:bCs/>
              </w:rPr>
              <w:t>Principai</w:t>
            </w:r>
          </w:p>
        </w:tc>
        <w:tc>
          <w:tcPr>
            <w:tcW w:w="7076" w:type="dxa"/>
            <w:shd w:val="clear" w:color="auto" w:fill="auto"/>
          </w:tcPr>
          <w:p w:rsidR="00C62468" w:rsidRPr="00C62468" w:rsidRDefault="00C62468" w:rsidP="00C62468">
            <w:pPr>
              <w:spacing w:after="0" w:line="360" w:lineRule="auto"/>
              <w:jc w:val="both"/>
              <w:rPr>
                <w:rFonts w:ascii="Times New Roman" w:eastAsia="Calibri" w:hAnsi="Times New Roman" w:cs="Times New Roman"/>
                <w:b/>
                <w:bCs/>
              </w:rPr>
            </w:pPr>
            <w:r w:rsidRPr="00C62468">
              <w:rPr>
                <w:rFonts w:ascii="Times New Roman" w:eastAsia="Calibri" w:hAnsi="Times New Roman" w:cs="Times New Roman"/>
                <w:b/>
                <w:bCs/>
              </w:rPr>
              <w:t>Įgyvendinimo laukai, veiklos galimybės, priemonės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2" w:name="_Hlk61443305"/>
            <w:r w:rsidRPr="00C62468">
              <w:rPr>
                <w:rFonts w:ascii="Times New Roman" w:eastAsia="Calibri" w:hAnsi="Times New Roman" w:cs="Times New Roman"/>
              </w:rPr>
              <w:t>Orientavimosi į vietos bendruomenės poreikius</w:t>
            </w:r>
            <w:bookmarkEnd w:id="2"/>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Nuolatinis bendravimas su vietos bendruomenės atstovais. Organizuojami tradiciniai renginiai, rengiami koncertai, spektakliai, sporto užsiėmimai, varžybos Vykdomas ikimokyklinis ir priešmokyklinis ugdymas, kultūros ir sporto veiklos, teikiamos socialinės paslaugos gyventojams, pramogų ir laisvalaikio organizavimas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3" w:name="_Hlk61443321"/>
            <w:r w:rsidRPr="00C62468">
              <w:rPr>
                <w:rFonts w:ascii="Times New Roman" w:eastAsia="Calibri" w:hAnsi="Times New Roman" w:cs="Times New Roman"/>
              </w:rPr>
              <w:t>Įvairovės kompleksiškumo</w:t>
            </w:r>
            <w:bookmarkEnd w:id="3"/>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Ugdymo veikla ikimokyklinio ir priešmokyklinio amžiaus vaikams. Teikiamos paslaugos pritaikytos tikslinių grupių konkretiems poreikiams: kultūros, sporto, švietimo savirealizacijai. Centras turi įvairios įrangos: treniruokliai, virtuvė, įgarsinimo aparatūra, bibliotekoje kompiuteriai, interaktyvus stalas.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4" w:name="_Hlk61443339"/>
            <w:r w:rsidRPr="00C62468">
              <w:rPr>
                <w:rFonts w:ascii="Times New Roman" w:eastAsia="Calibri" w:hAnsi="Times New Roman" w:cs="Times New Roman"/>
              </w:rPr>
              <w:t>Papildomumo</w:t>
            </w:r>
            <w:bookmarkEnd w:id="4"/>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Nuo 2018 metų rudens pradėtas priešmokyklinis ugdymas, salės nuoma edukaciniams, kultūriniams renginiams.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5" w:name="_Hlk61443357"/>
            <w:r w:rsidRPr="00C62468">
              <w:rPr>
                <w:rFonts w:ascii="Times New Roman" w:eastAsia="Calibri" w:hAnsi="Times New Roman" w:cs="Times New Roman"/>
              </w:rPr>
              <w:t>Lankstumo</w:t>
            </w:r>
            <w:bookmarkEnd w:id="5"/>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Principo įgyvendinimo siekiama įsivertinimo būdu, stebint kas efektyvu, ko reikia atsisakyti, reaguoti į nuolat besikeičiančius bendruomenės poreikius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6" w:name="_Hlk61443375"/>
            <w:r w:rsidRPr="00C62468">
              <w:rPr>
                <w:rFonts w:ascii="Times New Roman" w:eastAsia="Calibri" w:hAnsi="Times New Roman" w:cs="Times New Roman"/>
              </w:rPr>
              <w:t>Prieinamumo</w:t>
            </w:r>
            <w:bookmarkEnd w:id="6"/>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Kirdonių ir aplinkinių kaimų gyventojams sudaryta galimybė lankytis sporto salėje, bibliotekoje, suteikiama galimybė rinktis veiklas pagal poreikius. Siekiama maksimaliai pritaikyti patalpas veikloms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7" w:name="_Hlk61443389"/>
            <w:r w:rsidRPr="00C62468">
              <w:rPr>
                <w:rFonts w:ascii="Times New Roman" w:eastAsia="Calibri" w:hAnsi="Times New Roman" w:cs="Times New Roman"/>
              </w:rPr>
              <w:t>Aktyvaus bendruomenės įtraukimo</w:t>
            </w:r>
            <w:bookmarkEnd w:id="7"/>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Bendruomenės nariai įtraukiami į švenčių, parodų, teminių vakarų organizavimą ir dalyvavimą, sudaromos sąlygos atsiskleisti gyventojų kūrybiškumui, leidžiama naudotis patalpomis saviraiškai. Bendruomenės nariai kviečiami dalyvauti aptarimuose, skatinami išsakyti savo nuomonę ir teikti pasiūlymus.</w:t>
            </w:r>
          </w:p>
        </w:tc>
      </w:tr>
      <w:tr w:rsidR="00C62468" w:rsidRPr="00C62468" w:rsidTr="00BD7062">
        <w:tc>
          <w:tcPr>
            <w:tcW w:w="2552"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bookmarkStart w:id="8" w:name="_Hlk61443405"/>
            <w:r w:rsidRPr="00C62468">
              <w:rPr>
                <w:rFonts w:ascii="Times New Roman" w:eastAsia="Calibri" w:hAnsi="Times New Roman" w:cs="Times New Roman"/>
              </w:rPr>
              <w:t>Tarpinstitucinio bendradarbiavimo</w:t>
            </w:r>
            <w:bookmarkEnd w:id="8"/>
          </w:p>
        </w:tc>
        <w:tc>
          <w:tcPr>
            <w:tcW w:w="7076" w:type="dxa"/>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Veikla organizuojama kartu su šalies bei Biržų rajono įvairiomis organizacijomis.</w:t>
            </w:r>
          </w:p>
        </w:tc>
      </w:tr>
    </w:tbl>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Cs/>
          <w:sz w:val="24"/>
          <w:szCs w:val="24"/>
        </w:rPr>
        <w:t>Įstaigos veikla orientuota trims tikslinėms grupėms. Ikimokyklinio ir priešmokyklinio amžiaus vaikų ugdymo grupė, mokyklinio amžiaus vaikai, suaugusieji ir senjorai.</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b/>
          <w:i/>
          <w:iCs/>
          <w:sz w:val="24"/>
          <w:szCs w:val="24"/>
        </w:rPr>
        <w:t>Ikimokyklinio ir priešmokyklinio amžiaus vaikų ugdymo grupė- tai</w:t>
      </w:r>
      <w:r w:rsidRPr="00C62468">
        <w:rPr>
          <w:rFonts w:ascii="Times New Roman" w:eastAsia="Calibri" w:hAnsi="Times New Roman" w:cs="Times New Roman"/>
          <w:sz w:val="24"/>
          <w:szCs w:val="24"/>
        </w:rPr>
        <w:t xml:space="preserve"> 1 -7 metų amžiaus vaikai. Centre vykdomas vaikų ugdymas, rūpinamasi jų užimtumu. Su ugdytiniais dirba dvi pedagogės bei padėjėja. Grupei suteiktos sąlygos naudotis žaidimų aikštele, treniruoklių ir renginių sale, teikiamas maitinimas. Centre maistas negaminamas, jį tiekia individuali įmonė.</w:t>
      </w:r>
    </w:p>
    <w:p w:rsidR="00C62468" w:rsidRPr="00C62468" w:rsidRDefault="00C62468" w:rsidP="00C62468">
      <w:pPr>
        <w:spacing w:after="0" w:line="360" w:lineRule="auto"/>
        <w:jc w:val="both"/>
        <w:rPr>
          <w:rFonts w:ascii="Times New Roman" w:eastAsia="Calibri" w:hAnsi="Times New Roman" w:cs="Times New Roman"/>
          <w:bCs/>
          <w:i/>
          <w:iCs/>
          <w:sz w:val="24"/>
          <w:szCs w:val="24"/>
        </w:rPr>
      </w:pPr>
      <w:r w:rsidRPr="00C62468">
        <w:rPr>
          <w:rFonts w:ascii="Times New Roman" w:eastAsia="Calibri" w:hAnsi="Times New Roman" w:cs="Times New Roman"/>
          <w:b/>
          <w:bCs/>
          <w:i/>
          <w:iCs/>
          <w:sz w:val="24"/>
          <w:szCs w:val="24"/>
        </w:rPr>
        <w:lastRenderedPageBreak/>
        <w:t>Mokyklinio amžiaus vaikai ir jaunimas</w:t>
      </w:r>
      <w:r w:rsidRPr="00C62468">
        <w:rPr>
          <w:rFonts w:ascii="Times New Roman" w:eastAsia="Calibri" w:hAnsi="Times New Roman" w:cs="Times New Roman"/>
          <w:sz w:val="24"/>
          <w:szCs w:val="24"/>
        </w:rPr>
        <w:t>. Centre sudaromos galimybės laisvalaikio praleidimui naudojantis treniruoklių sale, bibliotekoje esančia literatūra, IT technologijomis, žaidimų aikštele lauke, aktyviai dalyvaujant kultūros ir sporto renginiuose bei užsiėmimuose.</w:t>
      </w: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
          <w:i/>
          <w:iCs/>
          <w:sz w:val="24"/>
          <w:szCs w:val="24"/>
        </w:rPr>
        <w:t>Suaugusieji ir senjorai</w:t>
      </w:r>
      <w:r w:rsidRPr="00C62468">
        <w:rPr>
          <w:rFonts w:ascii="Times New Roman" w:eastAsia="Calibri" w:hAnsi="Times New Roman" w:cs="Times New Roman"/>
          <w:b/>
          <w:sz w:val="24"/>
          <w:szCs w:val="24"/>
        </w:rPr>
        <w:t>.</w:t>
      </w:r>
      <w:r w:rsidRPr="00C62468">
        <w:rPr>
          <w:rFonts w:ascii="Times New Roman" w:eastAsia="Calibri" w:hAnsi="Times New Roman" w:cs="Times New Roman"/>
          <w:bCs/>
          <w:sz w:val="24"/>
          <w:szCs w:val="24"/>
        </w:rPr>
        <w:t xml:space="preserve"> Šios grupės pagrindiniai poreikiai yra bendravimas bei dalyvavimas dominančiose veiklose, socialinė pagalba. Centre sudarytos sąlygos dalyvauti renginiuose, meno mėgėjų kolektyvuose, sporto treniruotėse, naudotis bibliotekos ir skalbyklos teikiamomis paslaugomis. Esant poreikiui, bet kuriai tiksliniai grupei organizuojamos išvykos, edukaciniai užsiėmimai, paskaitos.</w:t>
      </w: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Cs/>
          <w:sz w:val="24"/>
          <w:szCs w:val="24"/>
        </w:rPr>
        <w:t xml:space="preserve">Teikiamos ikimokyklinio ir priešmokyklinio ugdymo, bibliotekos, kultūros, sporto, socialinės (skalbykla, dušai), laisvalaikio (biliardas, stalo žaidimai, stalo tenisas) paslaugos. </w:t>
      </w:r>
    </w:p>
    <w:p w:rsidR="00C62468" w:rsidRPr="00C62468" w:rsidRDefault="00C62468" w:rsidP="00C62468">
      <w:pPr>
        <w:spacing w:after="0" w:line="360" w:lineRule="auto"/>
        <w:jc w:val="right"/>
        <w:rPr>
          <w:rFonts w:ascii="Times New Roman" w:eastAsia="PalatinoLinotype-Roman" w:hAnsi="Times New Roman" w:cs="Times New Roman"/>
          <w:sz w:val="24"/>
          <w:szCs w:val="24"/>
        </w:rPr>
      </w:pPr>
      <w:r w:rsidRPr="00C62468">
        <w:rPr>
          <w:rFonts w:ascii="Times New Roman" w:eastAsia="PalatinoLinotype-Roman" w:hAnsi="Times New Roman" w:cs="Times New Roman"/>
          <w:sz w:val="24"/>
          <w:szCs w:val="24"/>
          <w:lang w:val="en-US"/>
        </w:rPr>
        <w:t>2</w:t>
      </w:r>
      <w:r w:rsidRPr="00C62468">
        <w:rPr>
          <w:rFonts w:ascii="Times New Roman" w:eastAsia="PalatinoLinotype-Roman" w:hAnsi="Times New Roman" w:cs="Times New Roman"/>
          <w:sz w:val="24"/>
          <w:szCs w:val="24"/>
        </w:rPr>
        <w:t>. lentelė.</w:t>
      </w:r>
    </w:p>
    <w:p w:rsidR="00C62468" w:rsidRPr="00C62468" w:rsidRDefault="00C62468" w:rsidP="00C62468">
      <w:pPr>
        <w:spacing w:after="0" w:line="36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Centro teikiamų paslaugų bei jų vartotojų raiška</w:t>
      </w:r>
    </w:p>
    <w:tbl>
      <w:tblPr>
        <w:tblStyle w:val="Lentelstinklelis"/>
        <w:tblW w:w="5000" w:type="pct"/>
        <w:tblLook w:val="04A0" w:firstRow="1" w:lastRow="0" w:firstColumn="1" w:lastColumn="0" w:noHBand="0" w:noVBand="1"/>
      </w:tblPr>
      <w:tblGrid>
        <w:gridCol w:w="3208"/>
        <w:gridCol w:w="3208"/>
        <w:gridCol w:w="3212"/>
      </w:tblGrid>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Ikimokyklinis ugdymas</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9</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9</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8</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Priešmokyklinis ugdymas</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5</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3</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4</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Viso</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14</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12</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12</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Bibliotekos paslaugos/aktyvūs skaitytojai</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215</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209</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156</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Kultūros paslaugos. Renginiai/lankytojai</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51\1048</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49\1120</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34\691</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Sporto paslaugos. Lankytojai/apsilankymai</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75\1485</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75\828</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86\687</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Socialinės paslaugos. Lankytojai/apsilankymai</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20/duomenų nėra</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26/duomenų nėra</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19\310</w:t>
            </w:r>
          </w:p>
        </w:tc>
      </w:tr>
      <w:tr w:rsidR="00C62468" w:rsidRPr="00C62468" w:rsidTr="00BD7062">
        <w:tc>
          <w:tcPr>
            <w:tcW w:w="5000" w:type="pct"/>
            <w:gridSpan w:val="3"/>
          </w:tcPr>
          <w:p w:rsidR="00C62468" w:rsidRPr="00C62468" w:rsidRDefault="00C62468" w:rsidP="00C62468">
            <w:pPr>
              <w:ind w:firstLine="0"/>
              <w:jc w:val="center"/>
              <w:rPr>
                <w:rFonts w:ascii="Times New Roman" w:eastAsia="Calibri" w:hAnsi="Times New Roman" w:cs="Times New Roman"/>
                <w:b/>
                <w:bCs/>
              </w:rPr>
            </w:pPr>
            <w:r w:rsidRPr="00C62468">
              <w:rPr>
                <w:rFonts w:ascii="Times New Roman" w:eastAsia="Calibri" w:hAnsi="Times New Roman" w:cs="Times New Roman"/>
                <w:b/>
                <w:bCs/>
              </w:rPr>
              <w:t>Laisvalaikio paslaugos. Lankytojai/apsilankymai</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2018m</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2019m.</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2020m.</w:t>
            </w:r>
          </w:p>
        </w:tc>
      </w:tr>
      <w:tr w:rsidR="00C62468" w:rsidRPr="00C62468" w:rsidTr="00BD7062">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50\1560</w:t>
            </w:r>
          </w:p>
        </w:tc>
        <w:tc>
          <w:tcPr>
            <w:tcW w:w="1666"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50\1354</w:t>
            </w:r>
          </w:p>
        </w:tc>
        <w:tc>
          <w:tcPr>
            <w:tcW w:w="1668" w:type="pct"/>
          </w:tcPr>
          <w:p w:rsidR="00C62468" w:rsidRPr="00C62468" w:rsidRDefault="00C62468" w:rsidP="00C62468">
            <w:pPr>
              <w:ind w:firstLine="0"/>
              <w:jc w:val="center"/>
              <w:rPr>
                <w:rFonts w:ascii="Times New Roman" w:eastAsia="Calibri" w:hAnsi="Times New Roman" w:cs="Times New Roman"/>
              </w:rPr>
            </w:pPr>
            <w:r w:rsidRPr="00C62468">
              <w:rPr>
                <w:rFonts w:ascii="Times New Roman" w:eastAsia="Calibri" w:hAnsi="Times New Roman" w:cs="Times New Roman"/>
              </w:rPr>
              <w:t xml:space="preserve">46\179 </w:t>
            </w:r>
          </w:p>
        </w:tc>
      </w:tr>
    </w:tbl>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Centre teikiamos ikimokyklinio ir priešmokyklinio ugdymo, bibliotekos, kultūros, sporto, socialinės bei laisvalaikio paslaugos. </w:t>
      </w:r>
      <w:r w:rsidRPr="00C62468">
        <w:rPr>
          <w:rFonts w:ascii="Times New Roman" w:eastAsia="Calibri" w:hAnsi="Times New Roman" w:cs="Times New Roman"/>
          <w:sz w:val="24"/>
          <w:szCs w:val="24"/>
          <w:lang w:val="en-US"/>
        </w:rPr>
        <w:t xml:space="preserve">2018-2019 </w:t>
      </w:r>
      <w:r w:rsidRPr="00C62468">
        <w:rPr>
          <w:rFonts w:ascii="Times New Roman" w:eastAsia="Calibri" w:hAnsi="Times New Roman" w:cs="Times New Roman"/>
          <w:sz w:val="24"/>
          <w:szCs w:val="24"/>
        </w:rPr>
        <w:t xml:space="preserve">metais lankytojų skaičius išliko gana stabilus. </w:t>
      </w:r>
      <w:r w:rsidRPr="00C62468">
        <w:rPr>
          <w:rFonts w:ascii="Times New Roman" w:eastAsia="Calibri" w:hAnsi="Times New Roman" w:cs="Times New Roman"/>
          <w:sz w:val="24"/>
          <w:szCs w:val="24"/>
          <w:lang w:val="en-US"/>
        </w:rPr>
        <w:t>2019 m</w:t>
      </w:r>
      <w:r w:rsidRPr="00C62468">
        <w:rPr>
          <w:rFonts w:ascii="Times New Roman" w:eastAsia="Calibri" w:hAnsi="Times New Roman" w:cs="Times New Roman"/>
          <w:sz w:val="24"/>
          <w:szCs w:val="24"/>
        </w:rPr>
        <w:t xml:space="preserve">etais pastebėtas sporto paslaugų vartotojų skaičiaus ženklus sumažėjimas tai gali būti siejamas su sporto organizatoriaus nebuvimu, gyventojų pasyvumu savarankiškai sportuoti. Drastišką beveik visų paslaugų vartotojų mažėjimą </w:t>
      </w:r>
      <w:r w:rsidRPr="00C62468">
        <w:rPr>
          <w:rFonts w:ascii="Times New Roman" w:eastAsia="Calibri" w:hAnsi="Times New Roman" w:cs="Times New Roman"/>
          <w:sz w:val="24"/>
          <w:szCs w:val="24"/>
          <w:lang w:val="en-US"/>
        </w:rPr>
        <w:t xml:space="preserve">2020 </w:t>
      </w:r>
      <w:r w:rsidRPr="00C62468">
        <w:rPr>
          <w:rFonts w:ascii="Times New Roman" w:eastAsia="Calibri" w:hAnsi="Times New Roman" w:cs="Times New Roman"/>
          <w:sz w:val="24"/>
          <w:szCs w:val="24"/>
        </w:rPr>
        <w:t>metais lėmė, epidemiologinė situacija šalyje.</w:t>
      </w:r>
    </w:p>
    <w:p w:rsidR="00C62468" w:rsidRPr="00C62468" w:rsidRDefault="00C62468" w:rsidP="00C62468">
      <w:pPr>
        <w:spacing w:after="0" w:line="360" w:lineRule="auto"/>
        <w:jc w:val="right"/>
        <w:rPr>
          <w:rFonts w:ascii="Times New Roman" w:eastAsia="PalatinoLinotype-Roman" w:hAnsi="Times New Roman" w:cs="Times New Roman"/>
          <w:sz w:val="24"/>
          <w:szCs w:val="24"/>
        </w:rPr>
      </w:pPr>
      <w:r w:rsidRPr="00C62468">
        <w:rPr>
          <w:rFonts w:ascii="Times New Roman" w:eastAsia="PalatinoLinotype-Roman" w:hAnsi="Times New Roman" w:cs="Times New Roman"/>
          <w:sz w:val="24"/>
          <w:szCs w:val="24"/>
          <w:lang w:val="en-US"/>
        </w:rPr>
        <w:lastRenderedPageBreak/>
        <w:t>3</w:t>
      </w:r>
      <w:r w:rsidRPr="00C62468">
        <w:rPr>
          <w:rFonts w:ascii="Times New Roman" w:eastAsia="PalatinoLinotype-Roman" w:hAnsi="Times New Roman" w:cs="Times New Roman"/>
          <w:sz w:val="24"/>
          <w:szCs w:val="24"/>
        </w:rPr>
        <w:t>. lentelė.</w:t>
      </w:r>
    </w:p>
    <w:p w:rsidR="00C62468" w:rsidRPr="00C62468" w:rsidRDefault="00C62468" w:rsidP="00C62468">
      <w:pPr>
        <w:spacing w:after="0" w:line="360" w:lineRule="auto"/>
        <w:jc w:val="center"/>
        <w:rPr>
          <w:rFonts w:ascii="Times New Roman" w:eastAsia="Calibri" w:hAnsi="Times New Roman" w:cs="Times New Roman"/>
          <w:b/>
          <w:bCs/>
          <w:szCs w:val="24"/>
        </w:rPr>
      </w:pPr>
      <w:bookmarkStart w:id="9" w:name="_Hlk60924478"/>
      <w:r w:rsidRPr="00C62468">
        <w:rPr>
          <w:rFonts w:ascii="Times New Roman" w:eastAsia="Calibri" w:hAnsi="Times New Roman" w:cs="Times New Roman"/>
          <w:b/>
          <w:bCs/>
          <w:szCs w:val="24"/>
        </w:rPr>
        <w:t>Centro tarpinstitucinio bendradarbiavimo raiška</w:t>
      </w:r>
    </w:p>
    <w:tbl>
      <w:tblPr>
        <w:tblStyle w:val="Lentelstinklelis"/>
        <w:tblW w:w="0" w:type="auto"/>
        <w:tblLook w:val="04A0" w:firstRow="1" w:lastRow="0" w:firstColumn="1" w:lastColumn="0" w:noHBand="0" w:noVBand="1"/>
      </w:tblPr>
      <w:tblGrid>
        <w:gridCol w:w="4199"/>
        <w:gridCol w:w="5429"/>
      </w:tblGrid>
      <w:tr w:rsidR="00C62468" w:rsidRPr="00C62468" w:rsidTr="00BD7062">
        <w:tc>
          <w:tcPr>
            <w:tcW w:w="0" w:type="auto"/>
          </w:tcPr>
          <w:bookmarkEnd w:id="9"/>
          <w:p w:rsidR="00C62468" w:rsidRPr="00C62468" w:rsidRDefault="00C62468" w:rsidP="00C62468">
            <w:pPr>
              <w:ind w:firstLine="0"/>
              <w:jc w:val="center"/>
              <w:rPr>
                <w:rFonts w:ascii="Times New Roman" w:eastAsia="Calibri" w:hAnsi="Times New Roman" w:cs="Times New Roman"/>
                <w:szCs w:val="24"/>
              </w:rPr>
            </w:pPr>
            <w:r w:rsidRPr="00C62468">
              <w:rPr>
                <w:rFonts w:ascii="Times New Roman" w:eastAsia="Calibri" w:hAnsi="Times New Roman" w:cs="Times New Roman"/>
                <w:szCs w:val="24"/>
              </w:rPr>
              <w:t>Į</w:t>
            </w:r>
            <w:r w:rsidRPr="00C62468">
              <w:rPr>
                <w:rFonts w:ascii="Times New Roman" w:eastAsia="Calibri" w:hAnsi="Times New Roman" w:cs="Times New Roman"/>
                <w:b/>
                <w:bCs/>
                <w:szCs w:val="24"/>
              </w:rPr>
              <w:t>staiga</w:t>
            </w:r>
          </w:p>
        </w:tc>
        <w:tc>
          <w:tcPr>
            <w:tcW w:w="0" w:type="auto"/>
          </w:tcPr>
          <w:p w:rsidR="00C62468" w:rsidRPr="00C62468" w:rsidRDefault="00C62468" w:rsidP="00C62468">
            <w:pPr>
              <w:ind w:firstLine="0"/>
              <w:jc w:val="center"/>
              <w:rPr>
                <w:rFonts w:ascii="Times New Roman" w:eastAsia="Calibri" w:hAnsi="Times New Roman" w:cs="Times New Roman"/>
                <w:b/>
                <w:bCs/>
                <w:szCs w:val="24"/>
              </w:rPr>
            </w:pPr>
            <w:r w:rsidRPr="00C62468">
              <w:rPr>
                <w:rFonts w:ascii="Times New Roman" w:eastAsia="Calibri" w:hAnsi="Times New Roman" w:cs="Times New Roman"/>
                <w:b/>
                <w:bCs/>
                <w:szCs w:val="24"/>
              </w:rPr>
              <w:t>Bendradarbiavimo sritis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savivaldybė</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Darbuotojų kvalifikacijos kėlimas; vaikų ir jaunimo neformalus ugdymas; ES fondų parama</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Pabiržės seniūnija</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Socialinės paslaugos; žmogiškieji ištekliai; pagalba asmeniui ir šeimai</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Pabiržės kaimo bendruomenė</w:t>
            </w:r>
          </w:p>
        </w:tc>
        <w:tc>
          <w:tcPr>
            <w:tcW w:w="0" w:type="auto"/>
          </w:tcPr>
          <w:p w:rsidR="00C62468" w:rsidRPr="00C62468" w:rsidRDefault="00C62468" w:rsidP="00C62468">
            <w:pPr>
              <w:autoSpaceDE w:val="0"/>
              <w:adjustRightInd w:val="0"/>
              <w:ind w:firstLine="0"/>
              <w:rPr>
                <w:rFonts w:ascii="Times New Roman" w:eastAsia="Calibri" w:hAnsi="Times New Roman" w:cs="Times New Roman"/>
                <w:szCs w:val="24"/>
              </w:rPr>
            </w:pPr>
            <w:r w:rsidRPr="00C62468">
              <w:rPr>
                <w:rFonts w:ascii="Times New Roman" w:eastAsia="Calibri" w:hAnsi="Times New Roman" w:cs="Times New Roman"/>
                <w:szCs w:val="24"/>
              </w:rPr>
              <w:t>Pagalba asmeniui, šeimai, ypatingoms grupėms, socialinių įgūdžių ugdymas; 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Gulbinų kaimo bendruomenė</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Laisvalaikio užimtumas ir neformalus švietimas, savišvieta</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Kirdonių kaimo bendruomenė</w:t>
            </w:r>
          </w:p>
        </w:tc>
        <w:tc>
          <w:tcPr>
            <w:tcW w:w="0" w:type="auto"/>
          </w:tcPr>
          <w:p w:rsidR="00C62468" w:rsidRPr="00C62468" w:rsidRDefault="00C62468" w:rsidP="00C62468">
            <w:pPr>
              <w:autoSpaceDE w:val="0"/>
              <w:adjustRightInd w:val="0"/>
              <w:ind w:firstLine="0"/>
              <w:rPr>
                <w:rFonts w:ascii="Times New Roman" w:eastAsia="Calibri" w:hAnsi="Times New Roman" w:cs="Times New Roman"/>
                <w:szCs w:val="24"/>
              </w:rPr>
            </w:pPr>
            <w:r w:rsidRPr="00C62468">
              <w:rPr>
                <w:rFonts w:ascii="Times New Roman" w:eastAsia="Calibri" w:hAnsi="Times New Roman" w:cs="Times New Roman"/>
                <w:szCs w:val="24"/>
              </w:rPr>
              <w:t>Pagalba asmeniui, šeimai, ypatingoms grupėms, socialinių įgūdžių ugdymas; 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Pačeriaukštės kaimo bendruomenė</w:t>
            </w:r>
          </w:p>
        </w:tc>
        <w:tc>
          <w:tcPr>
            <w:tcW w:w="0" w:type="auto"/>
          </w:tcPr>
          <w:p w:rsidR="00C62468" w:rsidRPr="00C62468" w:rsidRDefault="00C62468" w:rsidP="00C62468">
            <w:pPr>
              <w:autoSpaceDE w:val="0"/>
              <w:adjustRightInd w:val="0"/>
              <w:ind w:firstLine="0"/>
              <w:rPr>
                <w:rFonts w:ascii="Times New Roman" w:eastAsia="Calibri" w:hAnsi="Times New Roman" w:cs="Times New Roman"/>
                <w:szCs w:val="24"/>
              </w:rPr>
            </w:pPr>
            <w:r w:rsidRPr="00C62468">
              <w:rPr>
                <w:rFonts w:ascii="Times New Roman" w:eastAsia="Calibri" w:hAnsi="Times New Roman" w:cs="Times New Roman"/>
                <w:szCs w:val="24"/>
              </w:rPr>
              <w:t>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kaimo bendruomenių sąjunga</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vietos veiklos grupė</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ES fondų parama</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kultūros centras</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Infrastruktūra; žmogiškieji ištekliai; 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kūno kultūros ir sporto centras</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Infrastruktūra; 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Jurgio Bielinio viešoji biblioteka</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Infrastruktūra; žmogiškieji ištekliai; įvairių amžiaus grupių laisvalaikio užimtumas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Kratiškių mokykla-daugiafunkcinis centras</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Centrų veiklos efektyvinimas, svarbos bendruomenėse stiprinimas</w:t>
            </w:r>
          </w:p>
        </w:tc>
      </w:tr>
      <w:tr w:rsidR="00C62468" w:rsidRPr="00C62468" w:rsidTr="00BD7062">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Biržų rajono ,,Atžalyno pagrindinės mokyklos Germaniškio mokykla-daugiafunkcinis centras</w:t>
            </w:r>
          </w:p>
        </w:tc>
        <w:tc>
          <w:tcPr>
            <w:tcW w:w="0" w:type="auto"/>
          </w:tcPr>
          <w:p w:rsidR="00C62468" w:rsidRPr="00C62468" w:rsidRDefault="00C62468" w:rsidP="00C62468">
            <w:pPr>
              <w:ind w:firstLine="0"/>
              <w:rPr>
                <w:rFonts w:ascii="Times New Roman" w:eastAsia="Calibri" w:hAnsi="Times New Roman" w:cs="Times New Roman"/>
                <w:szCs w:val="24"/>
              </w:rPr>
            </w:pPr>
            <w:r w:rsidRPr="00C62468">
              <w:rPr>
                <w:rFonts w:ascii="Times New Roman" w:eastAsia="Calibri" w:hAnsi="Times New Roman" w:cs="Times New Roman"/>
                <w:szCs w:val="24"/>
              </w:rPr>
              <w:t>Centrų veiklos efektyvinimas, svarbos bendruomenėse stiprinimas</w:t>
            </w:r>
          </w:p>
        </w:tc>
      </w:tr>
    </w:tbl>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i/>
          <w:iCs/>
          <w:sz w:val="24"/>
          <w:szCs w:val="24"/>
          <w:u w:val="single"/>
        </w:rPr>
      </w:pPr>
      <w:r w:rsidRPr="00C62468">
        <w:rPr>
          <w:rFonts w:ascii="Times New Roman" w:eastAsia="Calibri" w:hAnsi="Times New Roman" w:cs="Times New Roman"/>
          <w:sz w:val="24"/>
          <w:szCs w:val="24"/>
        </w:rPr>
        <w:t>Analizuojant centro tarpinstitucinio bendradarbiavimo raišką buvo pastebėta, kad bendradarbiavimas tarp institucijų beveik neformalizuotas. Trišalė bendradarbiavimo sutartis, 2016 metais, pasirašyta tik tarp Biržų rajone veikiančių daugiafunkcių centrų. Tais pačiais metais pasirašyta turto panaudos sutartis su Biržų rajono Jurgio Bielinio viešąja biblioteka. Kitų bendradarbiavimą patvirtinančių dokumentų nėra</w:t>
      </w:r>
      <w:r w:rsidRPr="00C62468">
        <w:rPr>
          <w:rFonts w:ascii="Times New Roman" w:eastAsia="Calibri" w:hAnsi="Times New Roman" w:cs="Times New Roman"/>
          <w:b/>
          <w:bCs/>
          <w:i/>
          <w:iCs/>
          <w:sz w:val="24"/>
          <w:szCs w:val="24"/>
        </w:rPr>
        <w:t>.</w:t>
      </w:r>
      <w:r w:rsidRPr="00C62468">
        <w:rPr>
          <w:rFonts w:ascii="Times New Roman" w:eastAsia="Calibri" w:hAnsi="Times New Roman" w:cs="Times New Roman"/>
          <w:i/>
          <w:iCs/>
          <w:sz w:val="24"/>
          <w:szCs w:val="24"/>
        </w:rPr>
        <w:t xml:space="preserve"> </w:t>
      </w:r>
      <w:r w:rsidRPr="00C62468">
        <w:rPr>
          <w:rFonts w:ascii="Times New Roman" w:eastAsia="Calibri" w:hAnsi="Times New Roman" w:cs="Times New Roman"/>
          <w:b/>
          <w:bCs/>
          <w:i/>
          <w:iCs/>
          <w:sz w:val="24"/>
          <w:szCs w:val="24"/>
          <w:u w:val="single"/>
        </w:rPr>
        <w:t>Formalizuoto bendravimo trūkumas gali sąlygoti</w:t>
      </w:r>
      <w:r w:rsidRPr="00C62468">
        <w:rPr>
          <w:rFonts w:ascii="Times New Roman" w:eastAsia="PalatinoLinotype-Roman" w:hAnsi="Times New Roman" w:cs="Times New Roman"/>
          <w:b/>
          <w:bCs/>
          <w:i/>
          <w:iCs/>
          <w:sz w:val="24"/>
          <w:szCs w:val="24"/>
          <w:u w:val="single"/>
        </w:rPr>
        <w:t xml:space="preserve"> partnerių veikimo ribų neapibrėžtumą, vaidmenų žinojimo ir atlikimo bei atsakomybės trūkumą, elgsenos ir tikslų nesuderinamumą. </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numPr>
          <w:ilvl w:val="1"/>
          <w:numId w:val="6"/>
        </w:numPr>
        <w:spacing w:after="0" w:line="360" w:lineRule="auto"/>
        <w:contextualSpacing/>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 xml:space="preserve"> Žmogiškųjų išteklių analizė</w:t>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Viešojo sektoriaus organizacijoms būdingos transformacijos, reformos, pokyčiai bei inovacijų paieškos. Pokyčiams įgyvendinti reikia žmogiškųjų išteklių, sugebančių išdėstyti prioritetus, atlikti keliamas užduotis. Žmogiškieji ištekliai yra vienas svarbiausių resursų, reikalingų bet kokiai organizacijos veiklai vykdyti.</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right"/>
        <w:rPr>
          <w:rFonts w:ascii="Times New Roman" w:eastAsia="PalatinoLinotype-Roman" w:hAnsi="Times New Roman" w:cs="Times New Roman"/>
          <w:sz w:val="24"/>
          <w:szCs w:val="24"/>
        </w:rPr>
      </w:pPr>
      <w:r w:rsidRPr="00C62468">
        <w:rPr>
          <w:rFonts w:ascii="Times New Roman" w:eastAsia="PalatinoLinotype-Roman" w:hAnsi="Times New Roman" w:cs="Times New Roman"/>
          <w:sz w:val="24"/>
          <w:szCs w:val="24"/>
          <w:lang w:val="en-US"/>
        </w:rPr>
        <w:t>4</w:t>
      </w:r>
      <w:r w:rsidRPr="00C62468">
        <w:rPr>
          <w:rFonts w:ascii="Times New Roman" w:eastAsia="PalatinoLinotype-Roman" w:hAnsi="Times New Roman" w:cs="Times New Roman"/>
          <w:sz w:val="24"/>
          <w:szCs w:val="24"/>
        </w:rPr>
        <w:t>. lentelė.</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24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 xml:space="preserve">Kirdonių universalaus daugiafunkcio centro ir partnerių pareigybės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768"/>
        <w:gridCol w:w="1290"/>
      </w:tblGrid>
      <w:tr w:rsidR="00C62468" w:rsidRPr="00C62468" w:rsidTr="00BD7062">
        <w:tc>
          <w:tcPr>
            <w:tcW w:w="0" w:type="auto"/>
            <w:gridSpan w:val="3"/>
            <w:shd w:val="clear" w:color="auto" w:fill="auto"/>
          </w:tcPr>
          <w:p w:rsidR="00C62468" w:rsidRPr="00C62468" w:rsidRDefault="00C62468" w:rsidP="00C62468">
            <w:pPr>
              <w:spacing w:after="0" w:line="240" w:lineRule="auto"/>
              <w:jc w:val="center"/>
              <w:rPr>
                <w:rFonts w:ascii="Times New Roman" w:eastAsia="Calibri" w:hAnsi="Times New Roman" w:cs="Times New Roman"/>
                <w:b/>
                <w:bCs/>
              </w:rPr>
            </w:pPr>
            <w:r w:rsidRPr="00C62468">
              <w:rPr>
                <w:rFonts w:ascii="Times New Roman" w:eastAsia="Calibri" w:hAnsi="Times New Roman" w:cs="Times New Roman"/>
                <w:b/>
                <w:bCs/>
              </w:rPr>
              <w:t>Kirdonių universalus daugiafunkcis centras</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b/>
                <w:bCs/>
              </w:rPr>
            </w:pPr>
            <w:r w:rsidRPr="00C62468">
              <w:rPr>
                <w:rFonts w:ascii="Times New Roman" w:eastAsia="Calibri" w:hAnsi="Times New Roman" w:cs="Times New Roman"/>
                <w:b/>
                <w:bCs/>
              </w:rPr>
              <w:t>Pareigybės</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b/>
                <w:bCs/>
              </w:rPr>
            </w:pPr>
            <w:r w:rsidRPr="00C62468">
              <w:rPr>
                <w:rFonts w:ascii="Times New Roman" w:eastAsia="Calibri" w:hAnsi="Times New Roman" w:cs="Times New Roman"/>
                <w:b/>
                <w:bCs/>
              </w:rPr>
              <w:t>Darbuotojų skaičius</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b/>
                <w:bCs/>
              </w:rPr>
            </w:pPr>
            <w:r w:rsidRPr="00C62468">
              <w:rPr>
                <w:rFonts w:ascii="Times New Roman" w:eastAsia="Calibri" w:hAnsi="Times New Roman" w:cs="Times New Roman"/>
                <w:b/>
                <w:bCs/>
              </w:rPr>
              <w:t>Etatų skaičius</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 xml:space="preserve">Administracijos darbuotojai (direktorius, buhalteris, ūkvedys) </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GB"/>
              </w:rPr>
            </w:pPr>
            <w:r w:rsidRPr="00C62468">
              <w:rPr>
                <w:rFonts w:ascii="Times New Roman" w:eastAsia="Calibri" w:hAnsi="Times New Roman" w:cs="Times New Roman"/>
                <w:lang w:val="en-GB"/>
              </w:rPr>
              <w:t>3</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2,25</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Ikimokyklinio ir priešmokyklinio ugdymo paslaugų teikėjai (pedagogai, mokytojai, auklėtojai, mokytojų padėjėjai)</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3</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2,75</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 xml:space="preserve">Kultūrines veiklos organizatorius </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GB"/>
              </w:rPr>
            </w:pPr>
            <w:r w:rsidRPr="00C62468">
              <w:rPr>
                <w:rFonts w:ascii="Times New Roman" w:eastAsia="Calibri" w:hAnsi="Times New Roman" w:cs="Times New Roman"/>
                <w:lang w:val="en-GB"/>
              </w:rPr>
              <w:t>1</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0,5</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Sportinės veiklos organizatorius</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0</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0,5</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Ūkinės dalies darbuotojai (kūrikas, valytojos, kiemsargė, pagalbinis darbuotojas).</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5</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2,70</w:t>
            </w:r>
          </w:p>
        </w:tc>
      </w:tr>
      <w:tr w:rsidR="00C62468" w:rsidRPr="00C62468" w:rsidTr="00BD7062">
        <w:tc>
          <w:tcPr>
            <w:tcW w:w="0" w:type="auto"/>
            <w:gridSpan w:val="3"/>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Biržų rajono Jurgio Bielinio viešoji biblioteka (Kirdonių padalinys)</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Bibliotekininkė</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1</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1</w:t>
            </w:r>
          </w:p>
        </w:tc>
      </w:tr>
      <w:tr w:rsidR="00C62468" w:rsidRPr="00C62468" w:rsidTr="00BD7062">
        <w:tc>
          <w:tcPr>
            <w:tcW w:w="0" w:type="auto"/>
            <w:gridSpan w:val="3"/>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Biržų kultūros centras (Kirdonių skyrius)</w:t>
            </w:r>
          </w:p>
        </w:tc>
      </w:tr>
      <w:tr w:rsidR="00C62468" w:rsidRPr="00C62468" w:rsidTr="00BD7062">
        <w:tc>
          <w:tcPr>
            <w:tcW w:w="0" w:type="auto"/>
            <w:shd w:val="clear" w:color="auto" w:fill="auto"/>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Meno vadovė</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lang w:val="en-US"/>
              </w:rPr>
            </w:pPr>
            <w:r w:rsidRPr="00C62468">
              <w:rPr>
                <w:rFonts w:ascii="Times New Roman" w:eastAsia="Calibri" w:hAnsi="Times New Roman" w:cs="Times New Roman"/>
                <w:lang w:val="en-US"/>
              </w:rPr>
              <w:t>1</w:t>
            </w:r>
          </w:p>
        </w:tc>
        <w:tc>
          <w:tcPr>
            <w:tcW w:w="0" w:type="auto"/>
            <w:shd w:val="clear" w:color="auto" w:fill="auto"/>
          </w:tcPr>
          <w:p w:rsidR="00C62468" w:rsidRPr="00C62468" w:rsidRDefault="00C62468" w:rsidP="00C62468">
            <w:pPr>
              <w:spacing w:after="0" w:line="240" w:lineRule="auto"/>
              <w:jc w:val="center"/>
              <w:rPr>
                <w:rFonts w:ascii="Times New Roman" w:eastAsia="Calibri" w:hAnsi="Times New Roman" w:cs="Times New Roman"/>
              </w:rPr>
            </w:pPr>
            <w:r w:rsidRPr="00C62468">
              <w:rPr>
                <w:rFonts w:ascii="Times New Roman" w:eastAsia="Calibri" w:hAnsi="Times New Roman" w:cs="Times New Roman"/>
              </w:rPr>
              <w:t>0,5</w:t>
            </w:r>
          </w:p>
        </w:tc>
      </w:tr>
    </w:tbl>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Biržų rajono savivaldybės tarybos 2016 m. kovo 24 d. sprendimu Nr. T-43 patvirtinti 9 etatai. 2020 metais dirba 1</w:t>
      </w:r>
      <w:r w:rsidRPr="00C62468">
        <w:rPr>
          <w:rFonts w:ascii="Times New Roman" w:eastAsia="Calibri" w:hAnsi="Times New Roman" w:cs="Times New Roman"/>
          <w:sz w:val="24"/>
          <w:szCs w:val="24"/>
          <w:lang w:val="en-US"/>
        </w:rPr>
        <w:t>1</w:t>
      </w:r>
      <w:r w:rsidRPr="00C62468">
        <w:rPr>
          <w:rFonts w:ascii="Times New Roman" w:eastAsia="Calibri" w:hAnsi="Times New Roman" w:cs="Times New Roman"/>
          <w:sz w:val="24"/>
          <w:szCs w:val="24"/>
        </w:rPr>
        <w:t xml:space="preserve"> centro darbuotojų. Kirdonių daugiafunkciame centre dirba du partnerių darbuotojai: Biržų rajono Jurgio Bielinio viešosios bibliotekos bibliotekininkė, Biržų kultūros centro meno vadovė. Viso </w:t>
      </w:r>
      <w:r w:rsidRPr="00C62468">
        <w:rPr>
          <w:rFonts w:ascii="Times New Roman" w:eastAsia="Calibri" w:hAnsi="Times New Roman" w:cs="Times New Roman"/>
          <w:sz w:val="24"/>
          <w:szCs w:val="24"/>
          <w:lang w:val="en-US"/>
        </w:rPr>
        <w:t xml:space="preserve">13 </w:t>
      </w:r>
      <w:r w:rsidRPr="00C62468">
        <w:rPr>
          <w:rFonts w:ascii="Times New Roman" w:eastAsia="Calibri" w:hAnsi="Times New Roman" w:cs="Times New Roman"/>
          <w:sz w:val="24"/>
          <w:szCs w:val="24"/>
        </w:rPr>
        <w:t xml:space="preserve">darbuotojų. </w:t>
      </w:r>
      <w:r w:rsidRPr="00C62468">
        <w:rPr>
          <w:rFonts w:ascii="Times New Roman" w:eastAsia="Calibri" w:hAnsi="Times New Roman" w:cs="Times New Roman"/>
          <w:b/>
          <w:bCs/>
          <w:i/>
          <w:iCs/>
          <w:sz w:val="24"/>
          <w:szCs w:val="24"/>
          <w:u w:val="single"/>
        </w:rPr>
        <w:t>Didelio kvalifikuotų darbuotojų trūkumo nėra. Vietos gyventojai sudaro 75 proc. dirbančio personalo, trūksta sportinės veiklos organizatoriaus.</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r w:rsidRPr="00C62468">
        <w:rPr>
          <w:rFonts w:ascii="Times New Roman" w:eastAsia="Calibri" w:hAnsi="Times New Roman" w:cs="Times New Roman"/>
          <w:b/>
          <w:bCs/>
          <w:noProof/>
          <w:sz w:val="24"/>
          <w:szCs w:val="24"/>
          <w:lang w:eastAsia="lt-LT"/>
        </w:rPr>
        <w:drawing>
          <wp:inline distT="0" distB="0" distL="0" distR="0" wp14:anchorId="7B0BEC48" wp14:editId="13747E6B">
            <wp:extent cx="4584700" cy="2755900"/>
            <wp:effectExtent l="0" t="0" r="635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62468" w:rsidRPr="00C62468" w:rsidRDefault="00C62468" w:rsidP="00C62468">
      <w:pPr>
        <w:numPr>
          <w:ilvl w:val="0"/>
          <w:numId w:val="1"/>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Centro ir partnerių išsilavinimas</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b/>
          <w:bCs/>
          <w:i/>
          <w:iCs/>
          <w:sz w:val="24"/>
          <w:szCs w:val="24"/>
          <w:u w:val="single"/>
        </w:rPr>
      </w:pPr>
      <w:r w:rsidRPr="00C62468">
        <w:rPr>
          <w:rFonts w:ascii="Times New Roman" w:eastAsia="Calibri" w:hAnsi="Times New Roman" w:cs="Times New Roman"/>
          <w:sz w:val="24"/>
          <w:szCs w:val="24"/>
        </w:rPr>
        <w:lastRenderedPageBreak/>
        <w:t xml:space="preserve">Aukštąjį universitetinį išsilavinimą yra įgiję: direktorė, vyr. buhalterė, ikimokyklinio ugdymo mokytoja (tas pats asmuo užima priešmokyklinio ugdymo auklėtojos ir meninio ugdymo pedagogės pareigas) bei įstaigos parterių darbuotojai: meno vadovė, bibliotekininkė. Aukštąjį universitetinį išsilavinimą įgiję asmenys sudaro </w:t>
      </w:r>
      <w:r w:rsidRPr="00C62468">
        <w:rPr>
          <w:rFonts w:ascii="Times New Roman" w:eastAsia="Calibri" w:hAnsi="Times New Roman" w:cs="Times New Roman"/>
          <w:sz w:val="24"/>
          <w:szCs w:val="24"/>
          <w:lang w:val="en-US"/>
        </w:rPr>
        <w:t>38</w:t>
      </w:r>
      <w:r w:rsidRPr="00C62468">
        <w:rPr>
          <w:rFonts w:ascii="Times New Roman" w:eastAsia="Calibri" w:hAnsi="Times New Roman" w:cs="Times New Roman"/>
          <w:sz w:val="24"/>
          <w:szCs w:val="24"/>
        </w:rPr>
        <w:t xml:space="preserve">% visų centro darbuotojų. Aukštąjį neuniversitetinį išslavinimą įgijęs asmuo užima ikimokyklinio ugdymo mokytojos pareigas. Tai sudaro 8% viso kolektyvo darbuotojų. Vidurinį išsilavinimą įgiję: ūkvedė ir kultūrinės veiklos organizatorė, mokytojos padėjėja, kūrikas. Verta pridurti, kad ūkvedė einanti ir kultūrinės veiklos organizatorės pareigas, šiuo metu, siekia universitetinio išsilavinimo. Šie asmenys sudaro 23% dirbančiųjų skaičiaus. Profesinį išsilavinimą turi valytojos, kiemsargis ir pagalbinis darbininkas, tai sudaro 31% visų centre dirbančio personalo. </w:t>
      </w:r>
      <w:r w:rsidRPr="00C62468">
        <w:rPr>
          <w:rFonts w:ascii="Times New Roman" w:eastAsia="Calibri" w:hAnsi="Times New Roman" w:cs="Times New Roman"/>
          <w:b/>
          <w:bCs/>
          <w:i/>
          <w:iCs/>
          <w:color w:val="000000"/>
          <w:sz w:val="24"/>
          <w:szCs w:val="24"/>
          <w:u w:val="single"/>
          <w:shd w:val="clear" w:color="auto" w:fill="FFFFFF"/>
        </w:rPr>
        <w:t xml:space="preserve">Visi daugiafunkcio centro bei partnerių darbuotojai atitinka pareigybės aprašymuose nurodytus </w:t>
      </w:r>
      <w:r w:rsidRPr="00C62468">
        <w:rPr>
          <w:rFonts w:ascii="Times New Roman" w:eastAsia="Calibri" w:hAnsi="Times New Roman" w:cs="Times New Roman"/>
          <w:b/>
          <w:bCs/>
          <w:i/>
          <w:iCs/>
          <w:sz w:val="24"/>
          <w:szCs w:val="24"/>
          <w:u w:val="single"/>
        </w:rPr>
        <w:t>specialius reikalavimus.</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r w:rsidRPr="00C62468">
        <w:rPr>
          <w:rFonts w:ascii="Times New Roman" w:eastAsia="Calibri" w:hAnsi="Times New Roman" w:cs="Times New Roman"/>
          <w:b/>
          <w:bCs/>
          <w:noProof/>
          <w:sz w:val="24"/>
          <w:szCs w:val="24"/>
          <w:lang w:eastAsia="lt-LT"/>
        </w:rPr>
        <w:drawing>
          <wp:inline distT="0" distB="0" distL="0" distR="0" wp14:anchorId="772296E0" wp14:editId="0502FE93">
            <wp:extent cx="4584700" cy="2755900"/>
            <wp:effectExtent l="0" t="0" r="635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62468" w:rsidRPr="00C62468" w:rsidRDefault="00C62468" w:rsidP="00C62468">
      <w:pPr>
        <w:numPr>
          <w:ilvl w:val="0"/>
          <w:numId w:val="1"/>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Centro ir partnerių darbuotojų kvalifikacijos kėlimas</w:t>
      </w:r>
    </w:p>
    <w:p w:rsidR="00C62468" w:rsidRPr="00C62468" w:rsidRDefault="00C62468" w:rsidP="00C62468">
      <w:pPr>
        <w:spacing w:after="0" w:line="360" w:lineRule="auto"/>
        <w:jc w:val="both"/>
        <w:rPr>
          <w:rFonts w:ascii="Times New Roman" w:eastAsia="Calibri" w:hAnsi="Times New Roman" w:cs="Times New Roman"/>
          <w:b/>
          <w:bCs/>
          <w:i/>
          <w:iCs/>
          <w:sz w:val="24"/>
          <w:szCs w:val="24"/>
          <w:u w:val="single"/>
        </w:rPr>
      </w:pPr>
      <w:r w:rsidRPr="00C62468">
        <w:rPr>
          <w:rFonts w:ascii="Times New Roman" w:eastAsia="Calibri" w:hAnsi="Times New Roman" w:cs="Times New Roman"/>
          <w:sz w:val="24"/>
          <w:szCs w:val="24"/>
        </w:rPr>
        <w:t xml:space="preserve">2020 metų duomenimis iki 50 valandų kvalifikaciją kėlė meninio ugdymo mokytojos ir ikimokyklinio ir priešmokyklinio ugdymo pedagogės pareigas einanti darbuotoja. Iki 30 valandų kvalifikaciją kėlė direktorė ir ūkvedė. Iki 20 valandų seminaruose dalyvavo vyr. buhalterė, ikimokyklinio ugdymo mokytoja, bibliotekininkė ir meno vadovė, kūrikas. Kvalifikacijos nekėlė mokytojos padėjėja, valytojos, kiemsargė, pagalbinis darbininkas. </w:t>
      </w:r>
      <w:r w:rsidRPr="00C62468">
        <w:rPr>
          <w:rFonts w:ascii="Times New Roman" w:eastAsia="Calibri" w:hAnsi="Times New Roman" w:cs="Times New Roman"/>
          <w:b/>
          <w:bCs/>
          <w:i/>
          <w:iCs/>
          <w:sz w:val="24"/>
          <w:szCs w:val="24"/>
          <w:u w:val="single"/>
        </w:rPr>
        <w:t xml:space="preserve">Viso kvalifikaciją 2020 metais kėlė </w:t>
      </w:r>
      <w:r w:rsidRPr="00C62468">
        <w:rPr>
          <w:rFonts w:ascii="Times New Roman" w:eastAsia="Calibri" w:hAnsi="Times New Roman" w:cs="Times New Roman"/>
          <w:b/>
          <w:bCs/>
          <w:i/>
          <w:iCs/>
          <w:sz w:val="24"/>
          <w:szCs w:val="24"/>
          <w:u w:val="single"/>
          <w:lang w:val="en-US"/>
        </w:rPr>
        <w:t>6</w:t>
      </w:r>
      <w:r w:rsidRPr="00C62468">
        <w:rPr>
          <w:rFonts w:ascii="Times New Roman" w:eastAsia="Calibri" w:hAnsi="Times New Roman" w:cs="Times New Roman"/>
          <w:b/>
          <w:bCs/>
          <w:i/>
          <w:iCs/>
          <w:sz w:val="24"/>
          <w:szCs w:val="24"/>
          <w:u w:val="single"/>
        </w:rPr>
        <w:t>4% centro darbuotojų. Taigi, didžioji dalis kolektyvo vykdo pareigybinėse instrukcijose nurodytą punktą apie nuolatinį kvalifikacijos kėlimą.</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r w:rsidRPr="00C62468">
        <w:rPr>
          <w:rFonts w:ascii="Calibri" w:eastAsia="Calibri" w:hAnsi="Calibri" w:cs="Times New Roman"/>
          <w:noProof/>
          <w:lang w:eastAsia="lt-LT"/>
        </w:rPr>
        <w:lastRenderedPageBreak/>
        <w:drawing>
          <wp:inline distT="0" distB="0" distL="0" distR="0" wp14:anchorId="5EECEFCB" wp14:editId="42B826E6">
            <wp:extent cx="4572000" cy="2743200"/>
            <wp:effectExtent l="0" t="0" r="0" b="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A3A7F07C-F8AB-4617-8EED-8E775A424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468" w:rsidRPr="00C62468" w:rsidRDefault="00C62468" w:rsidP="00C62468">
      <w:pPr>
        <w:numPr>
          <w:ilvl w:val="0"/>
          <w:numId w:val="1"/>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Centro ir partnerių darbuotojų stažas einamose pareigose</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b/>
          <w:bCs/>
          <w:i/>
          <w:iCs/>
          <w:sz w:val="24"/>
          <w:szCs w:val="24"/>
          <w:u w:val="single"/>
        </w:rPr>
      </w:pPr>
      <w:r w:rsidRPr="00C62468">
        <w:rPr>
          <w:rFonts w:ascii="Times New Roman" w:eastAsia="Calibri" w:hAnsi="Times New Roman" w:cs="Times New Roman"/>
          <w:sz w:val="24"/>
          <w:szCs w:val="24"/>
        </w:rPr>
        <w:t xml:space="preserve">Vienas iš kokybišką veiklą sąlygojančių veiksnių – darbo einamose pareigose patirtis. Išanalizavus centro bei įstaigos partnerių darbuotojų, dirbančių centre, darbo sutartis nustatyta, kad ilgiausią, einamose pareigose ,darbo patirtį turi bibliotekininkė, vyr. buhalterė bei ikimokyklinio ugdymo mokytoja. Tai sudaro 23% viso personalo. Iki 20 metų darbo stažo, užimamose pareigose, turi ikimokyklinio ugdymo mokytoja (tas pats asmuo vykdo meninio ir priešmokyklinio ugdymo funkcijas) bei meno vadovė. Tai sudaro 15% viso centre dirbančio personalo. 62% darbuotojų patirtis einamose pareigose yra iki 5 metų. </w:t>
      </w:r>
      <w:r w:rsidRPr="00C62468">
        <w:rPr>
          <w:rFonts w:ascii="Times New Roman" w:eastAsia="Calibri" w:hAnsi="Times New Roman" w:cs="Times New Roman"/>
          <w:b/>
          <w:bCs/>
          <w:i/>
          <w:iCs/>
          <w:sz w:val="24"/>
          <w:szCs w:val="24"/>
          <w:u w:val="single"/>
        </w:rPr>
        <w:t>Įvertinus personalo patirtį esamose pareigose galima daryti prielaidą, kad kai kurių administracijos bei specialistų darbo patirtis gali būti nepakankama. Pažymėtina, kad specialistai, tiesiogiai bendraujantys ir teikiantys paslaugas vartotojams, turi pakankamą darbo patirtį.</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numPr>
          <w:ilvl w:val="1"/>
          <w:numId w:val="6"/>
        </w:numPr>
        <w:spacing w:after="0" w:line="360" w:lineRule="auto"/>
        <w:contextualSpacing/>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 xml:space="preserve"> Infrastruktūros analizė</w:t>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lang w:val="en-US"/>
        </w:rPr>
      </w:pPr>
      <w:r w:rsidRPr="00C62468">
        <w:rPr>
          <w:rFonts w:ascii="Times New Roman" w:eastAsia="Calibri" w:hAnsi="Times New Roman" w:cs="Times New Roman"/>
          <w:sz w:val="24"/>
          <w:szCs w:val="24"/>
        </w:rPr>
        <w:t xml:space="preserve">Remiantis pagrindinio pastato jo dalių ir priestato kadastro duomenimis statyba užbaigta 1983 metais. 2014 metais pradėti renovacijos darbai. Rekonstrukcija baigta 2015 metais. </w:t>
      </w:r>
      <w:r w:rsidRPr="00C62468">
        <w:rPr>
          <w:rFonts w:ascii="Times New Roman" w:eastAsia="Calibri" w:hAnsi="Times New Roman" w:cs="Times New Roman"/>
          <w:b/>
          <w:bCs/>
          <w:i/>
          <w:iCs/>
          <w:sz w:val="24"/>
          <w:szCs w:val="24"/>
          <w:u w:val="single"/>
        </w:rPr>
        <w:t>Kadastro duomenys rodo, kad pastato baigtumas – 100%. Statinys atitinka visus Valstybinės teritorijų planavimo ir statybos inspekcijos prie Aplinkos ministerijos reikalavimus. Pastato ir jo pagrindinių sistemų būklė yra nuolat stebima. Centro direktoriaus 2016 metų įsakymu Nr. V – 15 “</w:t>
      </w:r>
      <w:bookmarkStart w:id="10" w:name="_Hlk58093238"/>
      <w:r w:rsidRPr="00C62468">
        <w:rPr>
          <w:rFonts w:ascii="Times New Roman" w:eastAsia="Calibri" w:hAnsi="Times New Roman" w:cs="Times New Roman"/>
          <w:b/>
          <w:bCs/>
          <w:i/>
          <w:iCs/>
          <w:sz w:val="24"/>
          <w:szCs w:val="24"/>
          <w:u w:val="single"/>
        </w:rPr>
        <w:t>Dėl pastato būklės ir jo sistemų stebėjimo“</w:t>
      </w:r>
      <w:bookmarkEnd w:id="10"/>
      <w:r w:rsidRPr="00C62468">
        <w:rPr>
          <w:rFonts w:ascii="Times New Roman" w:eastAsia="Calibri" w:hAnsi="Times New Roman" w:cs="Times New Roman"/>
          <w:b/>
          <w:bCs/>
          <w:i/>
          <w:iCs/>
          <w:sz w:val="24"/>
          <w:szCs w:val="24"/>
          <w:u w:val="single"/>
        </w:rPr>
        <w:t>, paskirtas atsakingas asmuo.</w:t>
      </w:r>
      <w:r w:rsidRPr="00C62468">
        <w:rPr>
          <w:rFonts w:ascii="Times New Roman" w:eastAsia="Calibri" w:hAnsi="Times New Roman" w:cs="Times New Roman"/>
          <w:sz w:val="24"/>
          <w:szCs w:val="24"/>
        </w:rPr>
        <w:t xml:space="preserve"> </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right"/>
        <w:rPr>
          <w:rFonts w:ascii="Times New Roman" w:eastAsia="Calibri" w:hAnsi="Times New Roman" w:cs="Times New Roman"/>
          <w:bCs/>
          <w:sz w:val="24"/>
          <w:szCs w:val="24"/>
        </w:rPr>
      </w:pPr>
      <w:r w:rsidRPr="00C62468">
        <w:rPr>
          <w:rFonts w:ascii="Times New Roman" w:eastAsia="Calibri" w:hAnsi="Times New Roman" w:cs="Times New Roman"/>
          <w:bCs/>
          <w:sz w:val="24"/>
          <w:szCs w:val="24"/>
        </w:rPr>
        <w:lastRenderedPageBreak/>
        <w:t>5. lentelė.</w:t>
      </w:r>
    </w:p>
    <w:p w:rsidR="00C62468" w:rsidRPr="00C62468" w:rsidRDefault="00C62468" w:rsidP="00C62468">
      <w:pPr>
        <w:spacing w:after="0" w:line="360" w:lineRule="auto"/>
        <w:jc w:val="center"/>
        <w:rPr>
          <w:rFonts w:ascii="Times New Roman" w:eastAsia="Calibri" w:hAnsi="Times New Roman" w:cs="Times New Roman"/>
          <w:b/>
          <w:sz w:val="24"/>
          <w:szCs w:val="24"/>
        </w:rPr>
      </w:pPr>
      <w:bookmarkStart w:id="11" w:name="_Hlk60924199"/>
      <w:r w:rsidRPr="00C62468">
        <w:rPr>
          <w:rFonts w:ascii="Times New Roman" w:eastAsia="Calibri" w:hAnsi="Times New Roman" w:cs="Times New Roman"/>
          <w:b/>
          <w:sz w:val="24"/>
          <w:szCs w:val="24"/>
        </w:rPr>
        <w:t>Teikiamų paslaugų pagrindinių vidaus plotų eksplikacija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C62468" w:rsidRPr="00C62468" w:rsidTr="00BD7062">
        <w:tc>
          <w:tcPr>
            <w:tcW w:w="1666" w:type="pct"/>
            <w:shd w:val="clear" w:color="auto" w:fill="auto"/>
          </w:tcPr>
          <w:bookmarkEnd w:id="11"/>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Paslauga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Priskirtos patalpos pavadinimai</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Plotas m</w:t>
            </w:r>
            <w:r w:rsidRPr="00C62468">
              <w:rPr>
                <w:rFonts w:ascii="Times New Roman" w:eastAsia="Calibri" w:hAnsi="Times New Roman" w:cs="Times New Roman"/>
                <w:b/>
                <w:vertAlign w:val="superscript"/>
              </w:rPr>
              <w:t>2</w:t>
            </w:r>
          </w:p>
        </w:tc>
      </w:tr>
      <w:tr w:rsidR="00C62468" w:rsidRPr="00C62468" w:rsidTr="00BD7062">
        <w:trPr>
          <w:trHeight w:val="415"/>
        </w:trPr>
        <w:tc>
          <w:tcPr>
            <w:tcW w:w="1666" w:type="pct"/>
            <w:vMerge w:val="restart"/>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Ikimokyklinis ir priešmokyklinis ugdymas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Darželio patalpa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50,45</w:t>
            </w:r>
          </w:p>
        </w:tc>
      </w:tr>
      <w:tr w:rsidR="00C62468" w:rsidRPr="00C62468" w:rsidTr="00BD7062">
        <w:trPr>
          <w:trHeight w:val="415"/>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Maisto skirstymo patalpa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5,41</w:t>
            </w:r>
          </w:p>
        </w:tc>
      </w:tr>
      <w:tr w:rsidR="00C62468" w:rsidRPr="00C62468" w:rsidTr="00BD7062">
        <w:trPr>
          <w:trHeight w:val="210"/>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Rūbinė</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5,79</w:t>
            </w:r>
          </w:p>
        </w:tc>
      </w:tr>
      <w:tr w:rsidR="00C62468" w:rsidRPr="00C62468" w:rsidTr="00BD7062">
        <w:trPr>
          <w:trHeight w:val="210"/>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Sanitarinis mazgas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10,39</w:t>
            </w:r>
          </w:p>
        </w:tc>
      </w:tr>
      <w:tr w:rsidR="00C62468" w:rsidRPr="00C62468" w:rsidTr="00BD7062">
        <w:tc>
          <w:tcPr>
            <w:tcW w:w="1666" w:type="pct"/>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Bibliotekos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Biblioteka, skaitykla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37,19</w:t>
            </w:r>
          </w:p>
        </w:tc>
      </w:tr>
      <w:tr w:rsidR="00C62468" w:rsidRPr="00C62468" w:rsidTr="00BD7062">
        <w:trPr>
          <w:trHeight w:val="330"/>
        </w:trPr>
        <w:tc>
          <w:tcPr>
            <w:tcW w:w="1666" w:type="pct"/>
            <w:vMerge w:val="restart"/>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 xml:space="preserve">Kultūros </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Repeticijų salė</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51,11</w:t>
            </w:r>
          </w:p>
        </w:tc>
      </w:tr>
      <w:tr w:rsidR="00C62468" w:rsidRPr="00C62468" w:rsidTr="00BD7062">
        <w:trPr>
          <w:trHeight w:val="330"/>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Konferencijų salė</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64,31</w:t>
            </w:r>
          </w:p>
        </w:tc>
      </w:tr>
      <w:tr w:rsidR="00C62468" w:rsidRPr="00C62468" w:rsidTr="00BD7062">
        <w:trPr>
          <w:trHeight w:val="255"/>
        </w:trPr>
        <w:tc>
          <w:tcPr>
            <w:tcW w:w="1666" w:type="pct"/>
            <w:vMerge w:val="restart"/>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Sporto ir laisvalaikio</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Sporto salė</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56,40</w:t>
            </w:r>
          </w:p>
        </w:tc>
      </w:tr>
      <w:tr w:rsidR="00C62468" w:rsidRPr="00C62468" w:rsidTr="00BD7062">
        <w:trPr>
          <w:trHeight w:val="255"/>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Persirengimo patalpos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13,77</w:t>
            </w:r>
          </w:p>
        </w:tc>
      </w:tr>
      <w:tr w:rsidR="00C62468" w:rsidRPr="00C62468" w:rsidTr="00BD7062">
        <w:trPr>
          <w:trHeight w:val="255"/>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Sanitarinis mazgas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10,39</w:t>
            </w:r>
          </w:p>
        </w:tc>
      </w:tr>
      <w:tr w:rsidR="00C62468" w:rsidRPr="00C62468" w:rsidTr="00BD7062">
        <w:trPr>
          <w:trHeight w:val="413"/>
        </w:trPr>
        <w:tc>
          <w:tcPr>
            <w:tcW w:w="1666" w:type="pct"/>
            <w:vMerge w:val="restart"/>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Socialinės</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Skalbykla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5,14</w:t>
            </w:r>
          </w:p>
        </w:tc>
      </w:tr>
      <w:tr w:rsidR="00C62468" w:rsidRPr="00C62468" w:rsidTr="00BD7062">
        <w:trPr>
          <w:trHeight w:val="413"/>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highlight w:val="cyan"/>
              </w:rPr>
            </w:pPr>
            <w:r w:rsidRPr="00C62468">
              <w:rPr>
                <w:rFonts w:ascii="Times New Roman" w:eastAsia="Calibri" w:hAnsi="Times New Roman" w:cs="Times New Roman"/>
                <w:bCs/>
              </w:rPr>
              <w:t>Dušai</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highlight w:val="cyan"/>
              </w:rPr>
            </w:pPr>
            <w:r w:rsidRPr="00C62468">
              <w:rPr>
                <w:rFonts w:ascii="Times New Roman" w:eastAsia="Calibri" w:hAnsi="Times New Roman" w:cs="Times New Roman"/>
                <w:bCs/>
              </w:rPr>
              <w:t>7</w:t>
            </w:r>
          </w:p>
        </w:tc>
      </w:tr>
      <w:tr w:rsidR="00C62468" w:rsidRPr="00C62468" w:rsidTr="00BD7062">
        <w:trPr>
          <w:trHeight w:val="412"/>
        </w:trPr>
        <w:tc>
          <w:tcPr>
            <w:tcW w:w="1666" w:type="pct"/>
            <w:vMerge/>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Priemonių laikymo patalpa</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5,79</w:t>
            </w:r>
          </w:p>
        </w:tc>
      </w:tr>
      <w:tr w:rsidR="00C62468" w:rsidRPr="00C62468" w:rsidTr="00BD7062">
        <w:tc>
          <w:tcPr>
            <w:tcW w:w="1666" w:type="pct"/>
            <w:shd w:val="clear" w:color="auto" w:fill="auto"/>
          </w:tcPr>
          <w:p w:rsidR="00C62468" w:rsidRPr="00C62468" w:rsidRDefault="00C62468" w:rsidP="00C62468">
            <w:pPr>
              <w:spacing w:after="0" w:line="240" w:lineRule="auto"/>
              <w:jc w:val="both"/>
              <w:rPr>
                <w:rFonts w:ascii="Times New Roman" w:eastAsia="Calibri" w:hAnsi="Times New Roman" w:cs="Times New Roman"/>
                <w:b/>
              </w:rPr>
            </w:pPr>
            <w:r w:rsidRPr="00C62468">
              <w:rPr>
                <w:rFonts w:ascii="Times New Roman" w:eastAsia="Calibri" w:hAnsi="Times New Roman" w:cs="Times New Roman"/>
                <w:b/>
              </w:rPr>
              <w:t>Viso:</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
                <w:lang w:val="en-US"/>
              </w:rPr>
            </w:pPr>
            <w:r w:rsidRPr="00C62468">
              <w:rPr>
                <w:rFonts w:ascii="Times New Roman" w:eastAsia="Calibri" w:hAnsi="Times New Roman" w:cs="Times New Roman"/>
                <w:b/>
                <w:lang w:val="en-US"/>
              </w:rPr>
              <w:t>12</w:t>
            </w:r>
          </w:p>
        </w:tc>
        <w:tc>
          <w:tcPr>
            <w:tcW w:w="1667" w:type="pct"/>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316,14</w:t>
            </w:r>
          </w:p>
        </w:tc>
      </w:tr>
    </w:tbl>
    <w:p w:rsidR="00C62468" w:rsidRPr="00C62468" w:rsidRDefault="00C62468" w:rsidP="00C62468">
      <w:pPr>
        <w:spacing w:after="0" w:line="360" w:lineRule="auto"/>
        <w:jc w:val="both"/>
        <w:rPr>
          <w:rFonts w:ascii="Times New Roman" w:eastAsia="Calibri" w:hAnsi="Times New Roman" w:cs="Times New Roman"/>
        </w:rPr>
      </w:pPr>
    </w:p>
    <w:p w:rsidR="00C62468" w:rsidRPr="00C62468" w:rsidRDefault="00C62468" w:rsidP="00C62468">
      <w:pPr>
        <w:spacing w:after="0" w:line="360" w:lineRule="auto"/>
        <w:jc w:val="both"/>
        <w:rPr>
          <w:rFonts w:ascii="Times New Roman" w:eastAsia="Calibri" w:hAnsi="Times New Roman" w:cs="Times New Roman"/>
          <w:b/>
          <w:bCs/>
          <w:i/>
          <w:iCs/>
          <w:sz w:val="24"/>
          <w:szCs w:val="24"/>
          <w:u w:val="single"/>
        </w:rPr>
      </w:pPr>
      <w:r w:rsidRPr="00C62468">
        <w:rPr>
          <w:rFonts w:ascii="Times New Roman" w:eastAsia="Calibri" w:hAnsi="Times New Roman" w:cs="Times New Roman"/>
          <w:b/>
          <w:bCs/>
          <w:i/>
          <w:iCs/>
          <w:sz w:val="24"/>
          <w:szCs w:val="24"/>
          <w:u w:val="single"/>
        </w:rPr>
        <w:t>Centras susiduria su vartotojų poreikių tenkinimo problemomis dėl kai kurių patalpų kvadratūros.</w:t>
      </w:r>
      <w:r w:rsidRPr="00C62468">
        <w:rPr>
          <w:rFonts w:ascii="Times New Roman" w:eastAsia="Calibri" w:hAnsi="Times New Roman" w:cs="Times New Roman"/>
          <w:sz w:val="24"/>
          <w:szCs w:val="24"/>
        </w:rPr>
        <w:t xml:space="preserve"> Sporto salės plotas 56,45 m</w:t>
      </w:r>
      <w:r w:rsidRPr="00C62468">
        <w:rPr>
          <w:rFonts w:ascii="Times New Roman" w:eastAsia="Calibri" w:hAnsi="Times New Roman" w:cs="Times New Roman"/>
          <w:sz w:val="24"/>
          <w:szCs w:val="24"/>
          <w:vertAlign w:val="superscript"/>
        </w:rPr>
        <w:t>2</w:t>
      </w:r>
      <w:r w:rsidRPr="00C62468">
        <w:rPr>
          <w:rFonts w:ascii="Times New Roman" w:eastAsia="Calibri" w:hAnsi="Times New Roman" w:cs="Times New Roman"/>
          <w:sz w:val="24"/>
          <w:szCs w:val="24"/>
        </w:rPr>
        <w:t>. Salėje įrengti treniruokliai, sumontuotos bei laikomos kitos priemonės. Komandinėms treniruotėms vietos nebelieka. Maksimalus besitreniruojančių skaičius – 6. Norint vesti skaitlingesnes treniruotes tenka naudotis konferencijų sale. Pastarojoje vyksta meno mėgėjų kolektyvo repeticijos bei kultūros renginiai, todėl salė dažnai užimta. Konferencijų salės plotas – 64,31 m</w:t>
      </w:r>
      <w:r w:rsidRPr="00C62468">
        <w:rPr>
          <w:rFonts w:ascii="Times New Roman" w:eastAsia="Calibri" w:hAnsi="Times New Roman" w:cs="Times New Roman"/>
          <w:sz w:val="24"/>
          <w:szCs w:val="24"/>
          <w:vertAlign w:val="superscript"/>
        </w:rPr>
        <w:t>2</w:t>
      </w:r>
      <w:r w:rsidRPr="00C62468">
        <w:rPr>
          <w:rFonts w:ascii="Times New Roman" w:eastAsia="Calibri" w:hAnsi="Times New Roman" w:cs="Times New Roman"/>
          <w:sz w:val="24"/>
          <w:szCs w:val="24"/>
        </w:rPr>
        <w:t>. Salės infrastruktūra nėra pritaikyta spektaklių, skaitlingesnių meno kolektyvų bei profesionalių atlikėjų pasirodymams. Skalbyklos patalpa – 5,14 m</w:t>
      </w:r>
      <w:r w:rsidRPr="00C62468">
        <w:rPr>
          <w:rFonts w:ascii="Times New Roman" w:eastAsia="Calibri" w:hAnsi="Times New Roman" w:cs="Times New Roman"/>
          <w:sz w:val="24"/>
          <w:szCs w:val="24"/>
          <w:vertAlign w:val="superscript"/>
        </w:rPr>
        <w:t>2</w:t>
      </w:r>
      <w:r w:rsidRPr="00C62468">
        <w:rPr>
          <w:rFonts w:ascii="Times New Roman" w:eastAsia="Calibri" w:hAnsi="Times New Roman" w:cs="Times New Roman"/>
          <w:sz w:val="24"/>
          <w:szCs w:val="24"/>
        </w:rPr>
        <w:t>. Sustačius reikiamą įranga lieka labai mažai vietos aptarnaujančiam personalui bei vartotojams</w:t>
      </w:r>
      <w:r w:rsidRPr="00C62468">
        <w:rPr>
          <w:rFonts w:ascii="Times New Roman" w:eastAsia="Calibri" w:hAnsi="Times New Roman" w:cs="Times New Roman"/>
          <w:b/>
          <w:bCs/>
          <w:i/>
          <w:iCs/>
          <w:sz w:val="24"/>
          <w:szCs w:val="24"/>
          <w:u w:val="single"/>
        </w:rPr>
        <w:t>. Ikimokyklinio ir priešmokyklinio ugdymo patalpos atitinka visus higienos normų reikalavimus. 2016 metais įstaigai suteiktas leidimas – higienos pasas, leidžiantis esamose patalpose ugdyti 14 vaikų.</w:t>
      </w:r>
    </w:p>
    <w:p w:rsidR="00C62468" w:rsidRPr="00C62468" w:rsidRDefault="00C62468" w:rsidP="00C62468">
      <w:pPr>
        <w:spacing w:after="0" w:line="360" w:lineRule="auto"/>
        <w:jc w:val="both"/>
        <w:rPr>
          <w:rFonts w:ascii="Calibri" w:eastAsia="Calibri" w:hAnsi="Calibri" w:cs="Times New Roman"/>
        </w:rPr>
      </w:pPr>
    </w:p>
    <w:p w:rsidR="00C62468" w:rsidRPr="00C62468" w:rsidRDefault="00C62468" w:rsidP="00C62468">
      <w:pPr>
        <w:spacing w:after="0" w:line="360" w:lineRule="auto"/>
        <w:jc w:val="right"/>
        <w:rPr>
          <w:rFonts w:ascii="Times New Roman" w:eastAsia="Calibri" w:hAnsi="Times New Roman" w:cs="Times New Roman"/>
          <w:bCs/>
          <w:sz w:val="24"/>
          <w:szCs w:val="24"/>
        </w:rPr>
      </w:pPr>
      <w:r w:rsidRPr="00C62468">
        <w:rPr>
          <w:rFonts w:ascii="Times New Roman" w:eastAsia="Calibri" w:hAnsi="Times New Roman" w:cs="Times New Roman"/>
          <w:bCs/>
          <w:sz w:val="24"/>
          <w:szCs w:val="24"/>
          <w:lang w:val="en-US"/>
        </w:rPr>
        <w:t>6</w:t>
      </w:r>
      <w:r w:rsidRPr="00C62468">
        <w:rPr>
          <w:rFonts w:ascii="Times New Roman" w:eastAsia="Calibri" w:hAnsi="Times New Roman" w:cs="Times New Roman"/>
          <w:bCs/>
          <w:sz w:val="24"/>
          <w:szCs w:val="24"/>
        </w:rPr>
        <w:t>. lentelė.</w:t>
      </w:r>
    </w:p>
    <w:p w:rsidR="00C62468" w:rsidRPr="00C62468" w:rsidRDefault="00C62468" w:rsidP="00C62468">
      <w:pPr>
        <w:spacing w:after="0" w:line="240" w:lineRule="auto"/>
        <w:jc w:val="center"/>
        <w:rPr>
          <w:rFonts w:ascii="Times New Roman" w:eastAsia="Calibri" w:hAnsi="Times New Roman" w:cs="Times New Roman"/>
          <w:bCs/>
          <w:sz w:val="24"/>
          <w:szCs w:val="24"/>
        </w:rPr>
      </w:pPr>
      <w:bookmarkStart w:id="12" w:name="_Hlk60924382"/>
      <w:r w:rsidRPr="00C62468">
        <w:rPr>
          <w:rFonts w:ascii="Times New Roman" w:eastAsia="Calibri" w:hAnsi="Times New Roman" w:cs="Times New Roman"/>
          <w:b/>
          <w:sz w:val="24"/>
          <w:szCs w:val="24"/>
        </w:rPr>
        <w:t>Svarbiausi baldai ir įranga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C62468" w:rsidRPr="00C62468" w:rsidTr="00BD7062">
        <w:tc>
          <w:tcPr>
            <w:tcW w:w="4927" w:type="dxa"/>
            <w:shd w:val="clear" w:color="auto" w:fill="auto"/>
          </w:tcPr>
          <w:bookmarkEnd w:id="12"/>
          <w:p w:rsidR="00C62468" w:rsidRPr="00C62468" w:rsidRDefault="00C62468" w:rsidP="00C62468">
            <w:pPr>
              <w:spacing w:after="0" w:line="240" w:lineRule="auto"/>
              <w:jc w:val="center"/>
              <w:rPr>
                <w:rFonts w:ascii="Times New Roman" w:eastAsia="Calibri" w:hAnsi="Times New Roman" w:cs="Times New Roman"/>
                <w:b/>
                <w:highlight w:val="yellow"/>
              </w:rPr>
            </w:pPr>
            <w:r w:rsidRPr="00C62468">
              <w:rPr>
                <w:rFonts w:ascii="Times New Roman" w:eastAsia="Calibri" w:hAnsi="Times New Roman" w:cs="Times New Roman"/>
                <w:b/>
              </w:rPr>
              <w:t>Paslaugos pavadinimas</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
                <w:highlight w:val="yellow"/>
              </w:rPr>
            </w:pPr>
            <w:r w:rsidRPr="00C62468">
              <w:rPr>
                <w:rFonts w:ascii="Times New Roman" w:eastAsia="Calibri" w:hAnsi="Times New Roman" w:cs="Times New Roman"/>
                <w:b/>
              </w:rPr>
              <w:t>Priemonių skaičius (vnt.)</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Ikimokyklinio ir priešmokyklinio ugdymas</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105</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Bibliotekos</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31</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Kultūros</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125</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Sporto ir laisvalaikio</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28</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Cs/>
              </w:rPr>
            </w:pPr>
            <w:r w:rsidRPr="00C62468">
              <w:rPr>
                <w:rFonts w:ascii="Times New Roman" w:eastAsia="Calibri" w:hAnsi="Times New Roman" w:cs="Times New Roman"/>
                <w:bCs/>
              </w:rPr>
              <w:t>Socialinės</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Cs/>
              </w:rPr>
            </w:pPr>
            <w:r w:rsidRPr="00C62468">
              <w:rPr>
                <w:rFonts w:ascii="Times New Roman" w:eastAsia="Calibri" w:hAnsi="Times New Roman" w:cs="Times New Roman"/>
                <w:bCs/>
              </w:rPr>
              <w:t>8</w:t>
            </w:r>
          </w:p>
        </w:tc>
      </w:tr>
      <w:tr w:rsidR="00C62468" w:rsidRPr="00C62468" w:rsidTr="00BD7062">
        <w:tc>
          <w:tcPr>
            <w:tcW w:w="4927" w:type="dxa"/>
            <w:shd w:val="clear" w:color="auto" w:fill="auto"/>
          </w:tcPr>
          <w:p w:rsidR="00C62468" w:rsidRPr="00C62468" w:rsidRDefault="00C62468" w:rsidP="00C62468">
            <w:pPr>
              <w:spacing w:after="0" w:line="240" w:lineRule="auto"/>
              <w:jc w:val="both"/>
              <w:rPr>
                <w:rFonts w:ascii="Times New Roman" w:eastAsia="Calibri" w:hAnsi="Times New Roman" w:cs="Times New Roman"/>
                <w:b/>
                <w:lang w:val="en-US"/>
              </w:rPr>
            </w:pPr>
            <w:r w:rsidRPr="00C62468">
              <w:rPr>
                <w:rFonts w:ascii="Times New Roman" w:eastAsia="Calibri" w:hAnsi="Times New Roman" w:cs="Times New Roman"/>
                <w:b/>
              </w:rPr>
              <w:t>Viso:</w:t>
            </w:r>
          </w:p>
        </w:tc>
        <w:tc>
          <w:tcPr>
            <w:tcW w:w="4927" w:type="dxa"/>
            <w:shd w:val="clear" w:color="auto" w:fill="auto"/>
          </w:tcPr>
          <w:p w:rsidR="00C62468" w:rsidRPr="00C62468" w:rsidRDefault="00C62468" w:rsidP="00C62468">
            <w:pPr>
              <w:spacing w:after="0" w:line="240" w:lineRule="auto"/>
              <w:jc w:val="center"/>
              <w:rPr>
                <w:rFonts w:ascii="Times New Roman" w:eastAsia="Calibri" w:hAnsi="Times New Roman" w:cs="Times New Roman"/>
                <w:b/>
              </w:rPr>
            </w:pPr>
            <w:r w:rsidRPr="00C62468">
              <w:rPr>
                <w:rFonts w:ascii="Times New Roman" w:eastAsia="Calibri" w:hAnsi="Times New Roman" w:cs="Times New Roman"/>
                <w:b/>
              </w:rPr>
              <w:t>297</w:t>
            </w:r>
          </w:p>
        </w:tc>
      </w:tr>
    </w:tbl>
    <w:p w:rsidR="00C62468" w:rsidRPr="00C62468" w:rsidRDefault="00C62468" w:rsidP="00C62468">
      <w:pPr>
        <w:spacing w:after="0" w:line="360" w:lineRule="auto"/>
        <w:jc w:val="both"/>
        <w:rPr>
          <w:rFonts w:ascii="Calibri" w:eastAsia="Calibri" w:hAnsi="Calibri" w:cs="Times New Roman"/>
        </w:rPr>
      </w:pPr>
    </w:p>
    <w:p w:rsidR="00C62468" w:rsidRPr="00C62468" w:rsidRDefault="00C62468" w:rsidP="00C62468">
      <w:pPr>
        <w:spacing w:after="0" w:line="360" w:lineRule="auto"/>
        <w:jc w:val="both"/>
        <w:rPr>
          <w:rFonts w:ascii="Times New Roman" w:eastAsia="Calibri" w:hAnsi="Times New Roman" w:cs="Times New Roman"/>
          <w:b/>
          <w:i/>
          <w:sz w:val="24"/>
          <w:szCs w:val="24"/>
          <w:u w:val="single"/>
          <w:lang w:eastAsia="lt-LT"/>
        </w:rPr>
      </w:pPr>
      <w:r w:rsidRPr="00C62468">
        <w:rPr>
          <w:rFonts w:ascii="Times New Roman" w:eastAsia="Calibri" w:hAnsi="Times New Roman" w:cs="Times New Roman"/>
          <w:bCs/>
          <w:iCs/>
          <w:sz w:val="24"/>
          <w:szCs w:val="24"/>
        </w:rPr>
        <w:lastRenderedPageBreak/>
        <w:t>Ikimokyklinio ir priešmokyklinio ugdymo grupės baldai ir įranga</w:t>
      </w:r>
      <w:r w:rsidRPr="00C62468">
        <w:rPr>
          <w:rFonts w:ascii="Times New Roman" w:eastAsia="Calibri" w:hAnsi="Times New Roman" w:cs="Times New Roman"/>
          <w:bCs/>
          <w:sz w:val="24"/>
          <w:szCs w:val="24"/>
        </w:rPr>
        <w:t xml:space="preserve"> įsigyta 2015 metais, įgyvendinant </w:t>
      </w:r>
      <w:r w:rsidRPr="00C62468">
        <w:rPr>
          <w:rFonts w:ascii="Times New Roman" w:eastAsia="Calibri" w:hAnsi="Times New Roman" w:cs="Times New Roman"/>
          <w:bCs/>
          <w:iCs/>
          <w:sz w:val="24"/>
          <w:szCs w:val="24"/>
          <w:lang w:eastAsia="lt-LT"/>
        </w:rPr>
        <w:t>Sanglaudos skatinimo</w:t>
      </w:r>
      <w:r w:rsidRPr="00C62468">
        <w:rPr>
          <w:rFonts w:ascii="Times New Roman" w:eastAsia="Calibri" w:hAnsi="Times New Roman" w:cs="Times New Roman"/>
          <w:bCs/>
          <w:iCs/>
          <w:caps/>
          <w:sz w:val="24"/>
          <w:szCs w:val="24"/>
          <w:lang w:eastAsia="lt-LT"/>
        </w:rPr>
        <w:t xml:space="preserve"> </w:t>
      </w:r>
      <w:r w:rsidRPr="00C62468">
        <w:rPr>
          <w:rFonts w:ascii="Times New Roman" w:eastAsia="Calibri" w:hAnsi="Times New Roman" w:cs="Times New Roman"/>
          <w:sz w:val="24"/>
          <w:szCs w:val="24"/>
        </w:rPr>
        <w:t xml:space="preserve">veiksmų programos 2 prioriteto </w:t>
      </w:r>
      <w:r w:rsidRPr="00C62468">
        <w:rPr>
          <w:rFonts w:ascii="Times New Roman" w:eastAsia="Calibri" w:hAnsi="Times New Roman" w:cs="Times New Roman"/>
          <w:bCs/>
          <w:iCs/>
          <w:caps/>
          <w:sz w:val="24"/>
          <w:szCs w:val="24"/>
          <w:lang w:eastAsia="lt-LT"/>
        </w:rPr>
        <w:t>„V</w:t>
      </w:r>
      <w:r w:rsidRPr="00C62468">
        <w:rPr>
          <w:rFonts w:ascii="Times New Roman" w:eastAsia="Calibri" w:hAnsi="Times New Roman" w:cs="Times New Roman"/>
          <w:iCs/>
          <w:sz w:val="24"/>
          <w:szCs w:val="24"/>
        </w:rPr>
        <w:t>iešųjų paslaugų kokybė ir prieinamumas: sveikatos, švietimo ir socialinė infrastruktūra</w:t>
      </w:r>
      <w:r w:rsidRPr="00C62468">
        <w:rPr>
          <w:rFonts w:ascii="Times New Roman" w:eastAsia="Calibri" w:hAnsi="Times New Roman" w:cs="Times New Roman"/>
          <w:iCs/>
          <w:caps/>
          <w:sz w:val="24"/>
          <w:szCs w:val="24"/>
        </w:rPr>
        <w:t>“</w:t>
      </w:r>
      <w:r w:rsidRPr="00C62468">
        <w:rPr>
          <w:rFonts w:ascii="Times New Roman" w:eastAsia="Calibri" w:hAnsi="Times New Roman" w:cs="Times New Roman"/>
          <w:sz w:val="24"/>
          <w:szCs w:val="24"/>
        </w:rPr>
        <w:t xml:space="preserve"> </w:t>
      </w:r>
      <w:r w:rsidRPr="00C62468">
        <w:rPr>
          <w:rFonts w:ascii="Times New Roman" w:eastAsia="Calibri" w:hAnsi="Times New Roman" w:cs="Times New Roman"/>
          <w:bCs/>
          <w:iCs/>
          <w:caps/>
          <w:sz w:val="24"/>
          <w:szCs w:val="24"/>
        </w:rPr>
        <w:t xml:space="preserve">VP3-2.2-ŠMM-04-r </w:t>
      </w:r>
      <w:r w:rsidRPr="00C62468">
        <w:rPr>
          <w:rFonts w:ascii="Times New Roman" w:eastAsia="Calibri" w:hAnsi="Times New Roman" w:cs="Times New Roman"/>
          <w:sz w:val="24"/>
          <w:szCs w:val="24"/>
        </w:rPr>
        <w:t xml:space="preserve">priemonę </w:t>
      </w:r>
      <w:r w:rsidRPr="00C62468">
        <w:rPr>
          <w:rFonts w:ascii="Times New Roman" w:eastAsia="Calibri" w:hAnsi="Times New Roman" w:cs="Times New Roman"/>
          <w:bCs/>
          <w:iCs/>
          <w:caps/>
          <w:sz w:val="24"/>
          <w:szCs w:val="24"/>
          <w:lang w:eastAsia="lt-LT"/>
        </w:rPr>
        <w:t>„</w:t>
      </w:r>
      <w:r w:rsidRPr="00C62468">
        <w:rPr>
          <w:rFonts w:ascii="Times New Roman" w:eastAsia="Calibri" w:hAnsi="Times New Roman" w:cs="Times New Roman"/>
          <w:bCs/>
          <w:iCs/>
          <w:sz w:val="24"/>
          <w:szCs w:val="24"/>
          <w:lang w:eastAsia="lt-LT"/>
        </w:rPr>
        <w:t xml:space="preserve">Universalių daugiafunkcių centrų kaimo vietovėse steigimas“. </w:t>
      </w:r>
      <w:r w:rsidRPr="00C62468">
        <w:rPr>
          <w:rFonts w:ascii="Times New Roman" w:eastAsia="Calibri" w:hAnsi="Times New Roman" w:cs="Times New Roman"/>
          <w:b/>
          <w:i/>
          <w:sz w:val="24"/>
          <w:szCs w:val="24"/>
          <w:u w:val="single"/>
          <w:lang w:eastAsia="lt-LT"/>
        </w:rPr>
        <w:t>Grupė naudojasi 0,6 ha lauko žaidimų aikštele. Baldai, žaidimams bei kitoms veikloms naudojama įranga tiek lauke, tiek ir ugdymo grupėje buvo sertifikuota. Patikrinimą atlieka kontrolės įstaiga . Kiekvienais metais centrui išduodamas vaikų žaidimų aikštelės  kontrolės sertifikatas.</w:t>
      </w: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Cs/>
          <w:i/>
          <w:iCs/>
          <w:sz w:val="24"/>
          <w:szCs w:val="24"/>
        </w:rPr>
        <w:t>Bibliotekos baldai ir įranga</w:t>
      </w:r>
      <w:r w:rsidRPr="00C62468">
        <w:rPr>
          <w:rFonts w:ascii="Times New Roman" w:eastAsia="Calibri" w:hAnsi="Times New Roman" w:cs="Times New Roman"/>
          <w:bCs/>
          <w:sz w:val="24"/>
          <w:szCs w:val="24"/>
        </w:rPr>
        <w:t xml:space="preserve"> </w:t>
      </w:r>
      <w:r w:rsidRPr="00C62468">
        <w:rPr>
          <w:rFonts w:ascii="Times New Roman" w:eastAsia="Calibri" w:hAnsi="Times New Roman" w:cs="Times New Roman"/>
          <w:b/>
          <w:sz w:val="24"/>
          <w:szCs w:val="24"/>
          <w:u w:val="single"/>
        </w:rPr>
        <w:t>sukomplektuoti iš daugiafunkcio centro ir Biržų rajono Jurgio Bielinio viešosios bibliotekos turimo turto. Su pastarąja įstaiga yra sudaryta turto panaudos sutartis.</w:t>
      </w:r>
      <w:r w:rsidRPr="00C62468">
        <w:rPr>
          <w:rFonts w:ascii="Times New Roman" w:eastAsia="Calibri" w:hAnsi="Times New Roman" w:cs="Times New Roman"/>
          <w:bCs/>
          <w:sz w:val="24"/>
          <w:szCs w:val="24"/>
        </w:rPr>
        <w:t xml:space="preserve"> Vienpusės spintos, televizorius, interaktyvi lenta, filmavimo kamera, stalai, kėdės yra centro nuosavybė. Priemonės ir baldai įgyti 2015 metais, įgyvendinant jau minėtą, centro renovavimo projektą. Dvipusės spintos, kompiuteriai, spausdintuvas yra Biržų viešosios bibliotekos nuosavybė. Šiuo metu naudojamas spausdintuvas bei kompiuteriai įgyti 2020 metais, įgyvendinant projekto „Prisijungusi Lietuva“ „Gyventojų skatinimas išmaniai naudotis internetu, atnaujintoje viešosios interneto prieigos infrastruktūroje“ priemonę.</w:t>
      </w: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Cs/>
          <w:iCs/>
          <w:sz w:val="24"/>
          <w:szCs w:val="24"/>
        </w:rPr>
        <w:t>Konferencijų salės baldai ir įranga</w:t>
      </w:r>
      <w:r w:rsidRPr="00C62468">
        <w:rPr>
          <w:rFonts w:ascii="Times New Roman" w:eastAsia="Calibri" w:hAnsi="Times New Roman" w:cs="Times New Roman"/>
          <w:bCs/>
          <w:sz w:val="24"/>
          <w:szCs w:val="24"/>
        </w:rPr>
        <w:t xml:space="preserve"> </w:t>
      </w:r>
      <w:r w:rsidRPr="00C62468">
        <w:rPr>
          <w:rFonts w:ascii="Times New Roman" w:eastAsia="Calibri" w:hAnsi="Times New Roman" w:cs="Times New Roman"/>
          <w:b/>
          <w:sz w:val="24"/>
          <w:szCs w:val="24"/>
          <w:u w:val="single"/>
        </w:rPr>
        <w:t>sukomplektuota iš daugiafunkcio centro ir Biržų kultūros centro turto. Foto aparatas, projektorius, ekranas, muzikinis centras, blykstės, baldai, kolonėlės, mikrofonai priklauso daugiafunkciam centrui, įgyti 2015 metais. Instrumentas priklauso kultūros centrui. Meno vadovas nurodo, kad trūksta nešiojamo kompiuterio ir kolonėlių.</w:t>
      </w:r>
    </w:p>
    <w:p w:rsidR="00C62468" w:rsidRPr="00C62468" w:rsidRDefault="00C62468" w:rsidP="00C62468">
      <w:pPr>
        <w:spacing w:after="0" w:line="360" w:lineRule="auto"/>
        <w:jc w:val="both"/>
        <w:rPr>
          <w:rFonts w:ascii="Times New Roman" w:eastAsia="Calibri" w:hAnsi="Times New Roman" w:cs="Times New Roman"/>
          <w:bCs/>
          <w:iCs/>
          <w:sz w:val="24"/>
          <w:szCs w:val="24"/>
          <w:lang w:eastAsia="lt-LT"/>
        </w:rPr>
      </w:pPr>
      <w:r w:rsidRPr="00C62468">
        <w:rPr>
          <w:rFonts w:ascii="Times New Roman" w:eastAsia="Calibri" w:hAnsi="Times New Roman" w:cs="Times New Roman"/>
          <w:bCs/>
          <w:iCs/>
          <w:sz w:val="24"/>
          <w:szCs w:val="24"/>
        </w:rPr>
        <w:t>Sporto salės baldai ir įranga</w:t>
      </w:r>
      <w:r w:rsidRPr="00C62468">
        <w:rPr>
          <w:rFonts w:ascii="Times New Roman" w:eastAsia="Calibri" w:hAnsi="Times New Roman" w:cs="Times New Roman"/>
          <w:bCs/>
          <w:sz w:val="24"/>
          <w:szCs w:val="24"/>
        </w:rPr>
        <w:t xml:space="preserve"> įgyti 2015 metais</w:t>
      </w:r>
      <w:r w:rsidRPr="00C62468">
        <w:rPr>
          <w:rFonts w:ascii="Times New Roman" w:eastAsia="Calibri" w:hAnsi="Times New Roman" w:cs="Times New Roman"/>
          <w:bCs/>
          <w:iCs/>
          <w:sz w:val="24"/>
          <w:szCs w:val="24"/>
          <w:lang w:eastAsia="lt-LT"/>
        </w:rPr>
        <w:t xml:space="preserve">. </w:t>
      </w:r>
      <w:r w:rsidRPr="00C62468">
        <w:rPr>
          <w:rFonts w:ascii="Times New Roman" w:eastAsia="Calibri" w:hAnsi="Times New Roman" w:cs="Times New Roman"/>
          <w:b/>
          <w:i/>
          <w:sz w:val="24"/>
          <w:szCs w:val="24"/>
          <w:u w:val="single"/>
          <w:lang w:eastAsia="lt-LT"/>
        </w:rPr>
        <w:t xml:space="preserve">Tiriamuoju laikotarpiu visa įranga ir baldai techniškai tvarkingi ir saugūs. </w:t>
      </w:r>
      <w:r w:rsidRPr="00C62468">
        <w:rPr>
          <w:rFonts w:ascii="Times New Roman" w:eastAsia="Calibri" w:hAnsi="Times New Roman" w:cs="Times New Roman"/>
          <w:bCs/>
          <w:iCs/>
          <w:sz w:val="24"/>
          <w:szCs w:val="24"/>
          <w:lang w:eastAsia="lt-LT"/>
        </w:rPr>
        <w:t>Nuolatine baldų ir įrangos būklės priežiūra rūpinasi ūkvedė.</w:t>
      </w:r>
    </w:p>
    <w:p w:rsidR="00C62468" w:rsidRPr="00C62468" w:rsidRDefault="00C62468" w:rsidP="00C62468">
      <w:pPr>
        <w:spacing w:after="0" w:line="360" w:lineRule="auto"/>
        <w:jc w:val="both"/>
        <w:rPr>
          <w:rFonts w:ascii="Times New Roman" w:eastAsia="Calibri" w:hAnsi="Times New Roman" w:cs="Times New Roman"/>
          <w:bCs/>
          <w:sz w:val="24"/>
          <w:szCs w:val="24"/>
        </w:rPr>
      </w:pPr>
      <w:r w:rsidRPr="00C62468">
        <w:rPr>
          <w:rFonts w:ascii="Times New Roman" w:eastAsia="Calibri" w:hAnsi="Times New Roman" w:cs="Times New Roman"/>
          <w:bCs/>
          <w:i/>
          <w:iCs/>
          <w:sz w:val="24"/>
          <w:szCs w:val="24"/>
        </w:rPr>
        <w:t>Skalbyklos ir dušų įranga</w:t>
      </w:r>
      <w:r w:rsidRPr="00C62468">
        <w:rPr>
          <w:rFonts w:ascii="Times New Roman" w:eastAsia="Calibri" w:hAnsi="Times New Roman" w:cs="Times New Roman"/>
          <w:bCs/>
          <w:sz w:val="24"/>
          <w:szCs w:val="24"/>
        </w:rPr>
        <w:t xml:space="preserve"> įgyta 2015 metais. Įgytos dvi skalbimo mašinos, bei džiovyklė. Skalbti galima 11 arba 6 kg. skalbinių. Džiovyklėje vienu metu džiovinama iki 11 kg skalbinių. Įgyti du Philips lygintuvai. Vartotojui pageidaujant, suteikiama galimybė skalbinius išsilyginti</w:t>
      </w:r>
      <w:r w:rsidRPr="00C62468">
        <w:rPr>
          <w:rFonts w:ascii="Times New Roman" w:eastAsia="Calibri" w:hAnsi="Times New Roman" w:cs="Times New Roman"/>
          <w:b/>
          <w:sz w:val="24"/>
          <w:szCs w:val="24"/>
          <w:u w:val="single"/>
        </w:rPr>
        <w:t xml:space="preserve">. Visa įranga visiškai tvarkinga. </w:t>
      </w:r>
      <w:r w:rsidRPr="00C62468">
        <w:rPr>
          <w:rFonts w:ascii="Times New Roman" w:eastAsia="Calibri" w:hAnsi="Times New Roman" w:cs="Times New Roman"/>
          <w:bCs/>
          <w:sz w:val="24"/>
          <w:szCs w:val="24"/>
        </w:rPr>
        <w:t>Nuolatinę priežiūra atlieka ūkvedė bei valytoja. Dušo paslaugomis gali naudotis ne tik vietiniai gyventojai, bet ir seniūnijos socialinių darbuotojų prižiūrimi neįgalūs, socialinės rizikos šeimų nariai.</w:t>
      </w:r>
    </w:p>
    <w:p w:rsidR="00C62468" w:rsidRPr="00C62468" w:rsidRDefault="00C62468" w:rsidP="00C62468">
      <w:pPr>
        <w:spacing w:after="0" w:line="360" w:lineRule="auto"/>
        <w:jc w:val="both"/>
        <w:rPr>
          <w:rFonts w:ascii="Times New Roman" w:eastAsia="Calibri" w:hAnsi="Times New Roman" w:cs="Times New Roman"/>
          <w:bCs/>
          <w:sz w:val="24"/>
          <w:szCs w:val="24"/>
        </w:rPr>
      </w:pPr>
    </w:p>
    <w:p w:rsidR="00C62468" w:rsidRPr="00C62468" w:rsidRDefault="00C62468" w:rsidP="00C62468">
      <w:pPr>
        <w:spacing w:after="0" w:line="360" w:lineRule="auto"/>
        <w:jc w:val="both"/>
        <w:rPr>
          <w:rFonts w:ascii="Calibri" w:eastAsia="Calibri" w:hAnsi="Calibri" w:cs="Times New Roman"/>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numPr>
          <w:ilvl w:val="1"/>
          <w:numId w:val="6"/>
        </w:numPr>
        <w:spacing w:after="0" w:line="360" w:lineRule="auto"/>
        <w:contextualSpacing/>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lastRenderedPageBreak/>
        <w:t xml:space="preserve"> Finansinės būklės analizė</w:t>
      </w:r>
    </w:p>
    <w:p w:rsidR="00C62468" w:rsidRPr="00C62468" w:rsidRDefault="00C62468" w:rsidP="00C62468">
      <w:pPr>
        <w:spacing w:after="0" w:line="360" w:lineRule="auto"/>
        <w:contextualSpacing/>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 lentelė</w:t>
      </w:r>
    </w:p>
    <w:p w:rsidR="00C62468" w:rsidRPr="00C62468" w:rsidRDefault="00C62468" w:rsidP="00C62468">
      <w:pPr>
        <w:spacing w:after="0" w:line="360" w:lineRule="auto"/>
        <w:contextualSpacing/>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Pagrindiniai finansiniai rodikliai</w:t>
      </w:r>
    </w:p>
    <w:tbl>
      <w:tblPr>
        <w:tblStyle w:val="Lentelstinklelis"/>
        <w:tblW w:w="0" w:type="auto"/>
        <w:tblLook w:val="04A0" w:firstRow="1" w:lastRow="0" w:firstColumn="1" w:lastColumn="0" w:noHBand="0" w:noVBand="1"/>
      </w:tblPr>
      <w:tblGrid>
        <w:gridCol w:w="555"/>
        <w:gridCol w:w="5365"/>
        <w:gridCol w:w="1236"/>
        <w:gridCol w:w="1236"/>
        <w:gridCol w:w="1236"/>
      </w:tblGrid>
      <w:tr w:rsidR="00C62468" w:rsidRPr="00C62468" w:rsidTr="00BD7062">
        <w:tc>
          <w:tcPr>
            <w:tcW w:w="562"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p>
        </w:tc>
        <w:tc>
          <w:tcPr>
            <w:tcW w:w="6081"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Straipsnis</w:t>
            </w:r>
          </w:p>
        </w:tc>
        <w:tc>
          <w:tcPr>
            <w:tcW w:w="1063"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2018 m.</w:t>
            </w:r>
          </w:p>
        </w:tc>
        <w:tc>
          <w:tcPr>
            <w:tcW w:w="1063"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2019 m.</w:t>
            </w:r>
          </w:p>
        </w:tc>
        <w:tc>
          <w:tcPr>
            <w:tcW w:w="974"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2020 m.</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b/>
                <w:bCs/>
                <w:sz w:val="24"/>
                <w:szCs w:val="24"/>
              </w:rPr>
            </w:pPr>
          </w:p>
        </w:tc>
        <w:tc>
          <w:tcPr>
            <w:tcW w:w="6081"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Pagrindinės veiklos pajamos</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103321,76</w:t>
            </w:r>
          </w:p>
        </w:tc>
        <w:tc>
          <w:tcPr>
            <w:tcW w:w="1063"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113086,83</w:t>
            </w:r>
          </w:p>
        </w:tc>
        <w:tc>
          <w:tcPr>
            <w:tcW w:w="974"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117021,63</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w:t>
            </w:r>
          </w:p>
        </w:tc>
        <w:tc>
          <w:tcPr>
            <w:tcW w:w="6081"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Finansavimo pajamos</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98460,77</w:t>
            </w:r>
          </w:p>
        </w:tc>
        <w:tc>
          <w:tcPr>
            <w:tcW w:w="1063"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107982,62</w:t>
            </w:r>
          </w:p>
        </w:tc>
        <w:tc>
          <w:tcPr>
            <w:tcW w:w="974"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112333,53</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1.1</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Iš valstybės biudžeto</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15729,63</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15384,88</w:t>
            </w:r>
          </w:p>
        </w:tc>
        <w:tc>
          <w:tcPr>
            <w:tcW w:w="974"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21236,29</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1.2</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Iš savivaldybės biudžeto</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71596,99</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79199,30</w:t>
            </w:r>
          </w:p>
        </w:tc>
        <w:tc>
          <w:tcPr>
            <w:tcW w:w="974"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78947,69</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1.3</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Iš ES, užsienio valstybių ir tarptautinių organizacijų</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10445,74</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12873,91</w:t>
            </w:r>
          </w:p>
        </w:tc>
        <w:tc>
          <w:tcPr>
            <w:tcW w:w="974"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12149,55</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1.4</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Iš kitų finansavimo šaltinių</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688,41</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524,53</w:t>
            </w:r>
          </w:p>
        </w:tc>
        <w:tc>
          <w:tcPr>
            <w:tcW w:w="974" w:type="dxa"/>
          </w:tcPr>
          <w:p w:rsidR="00C62468" w:rsidRPr="00C62468" w:rsidRDefault="00C62468" w:rsidP="00C62468">
            <w:pPr>
              <w:spacing w:line="360" w:lineRule="auto"/>
              <w:ind w:firstLine="0"/>
              <w:rPr>
                <w:rFonts w:ascii="Times New Roman" w:eastAsia="Calibri" w:hAnsi="Times New Roman" w:cs="Times New Roman"/>
                <w:sz w:val="24"/>
                <w:szCs w:val="24"/>
              </w:rPr>
            </w:pP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2.</w:t>
            </w:r>
          </w:p>
        </w:tc>
        <w:tc>
          <w:tcPr>
            <w:tcW w:w="6081"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Pagrindinės veiklos kitos pajamos</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4860,99</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5104,21</w:t>
            </w:r>
          </w:p>
        </w:tc>
        <w:tc>
          <w:tcPr>
            <w:tcW w:w="974"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4688,10</w:t>
            </w:r>
          </w:p>
        </w:tc>
      </w:tr>
      <w:tr w:rsidR="00C62468" w:rsidRPr="00C62468" w:rsidTr="00BD7062">
        <w:tc>
          <w:tcPr>
            <w:tcW w:w="562"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p>
        </w:tc>
        <w:tc>
          <w:tcPr>
            <w:tcW w:w="6081" w:type="dxa"/>
          </w:tcPr>
          <w:p w:rsidR="00C62468" w:rsidRPr="00C62468" w:rsidRDefault="00C62468" w:rsidP="00C62468">
            <w:pPr>
              <w:spacing w:line="360" w:lineRule="auto"/>
              <w:ind w:firstLine="0"/>
              <w:rPr>
                <w:rFonts w:ascii="Times New Roman" w:eastAsia="Calibri" w:hAnsi="Times New Roman" w:cs="Times New Roman"/>
                <w:b/>
                <w:bCs/>
                <w:sz w:val="24"/>
                <w:szCs w:val="24"/>
              </w:rPr>
            </w:pPr>
          </w:p>
        </w:tc>
        <w:tc>
          <w:tcPr>
            <w:tcW w:w="1063"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p>
        </w:tc>
        <w:tc>
          <w:tcPr>
            <w:tcW w:w="974"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p>
        </w:tc>
      </w:tr>
      <w:tr w:rsidR="00C62468" w:rsidRPr="00C62468" w:rsidTr="00BD7062">
        <w:tc>
          <w:tcPr>
            <w:tcW w:w="562" w:type="dxa"/>
          </w:tcPr>
          <w:p w:rsidR="00C62468" w:rsidRPr="00C62468" w:rsidRDefault="00C62468" w:rsidP="00C62468">
            <w:pPr>
              <w:spacing w:line="360" w:lineRule="auto"/>
              <w:ind w:firstLine="0"/>
              <w:jc w:val="center"/>
              <w:rPr>
                <w:rFonts w:ascii="Times New Roman" w:eastAsia="Calibri" w:hAnsi="Times New Roman" w:cs="Times New Roman"/>
                <w:b/>
                <w:bCs/>
                <w:sz w:val="24"/>
                <w:szCs w:val="24"/>
              </w:rPr>
            </w:pPr>
          </w:p>
        </w:tc>
        <w:tc>
          <w:tcPr>
            <w:tcW w:w="6081" w:type="dxa"/>
          </w:tcPr>
          <w:p w:rsidR="00C62468" w:rsidRPr="00C62468" w:rsidRDefault="00C62468" w:rsidP="00C62468">
            <w:pPr>
              <w:spacing w:line="360" w:lineRule="auto"/>
              <w:ind w:firstLine="0"/>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Pagrindinės veiklos sąnaudos</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102740,90</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112817,21</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117230,13</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1.</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Darbo užmokesčio ir socialinio draudimo</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72742,09</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80585,03</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87410,59</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2.</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Nusidėvėjimo ir amortizacijos</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13606,22</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14757,49</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13990,42</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3.</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Komunalinių paslaugų ir ryšių</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2509,87</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5234,52</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4175,66</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4.</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Kvalifikacijos kėlimo</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377,11</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154,10</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153,00</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5.</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Paprastojo remonto ir eksploatavimo</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7,39</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141,89</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6.</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Sunaudotų ir parduotų atsargų savikaina</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6476,16</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4287,93</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3182,20</w:t>
            </w:r>
          </w:p>
        </w:tc>
      </w:tr>
      <w:tr w:rsidR="00C62468" w:rsidRPr="00C62468" w:rsidTr="00BD7062">
        <w:tc>
          <w:tcPr>
            <w:tcW w:w="562"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7.</w:t>
            </w:r>
          </w:p>
        </w:tc>
        <w:tc>
          <w:tcPr>
            <w:tcW w:w="6081" w:type="dxa"/>
          </w:tcPr>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Kitų paslaugų</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7029,45</w:t>
            </w:r>
          </w:p>
        </w:tc>
        <w:tc>
          <w:tcPr>
            <w:tcW w:w="1063"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7790,75</w:t>
            </w:r>
          </w:p>
        </w:tc>
        <w:tc>
          <w:tcPr>
            <w:tcW w:w="974" w:type="dxa"/>
          </w:tcPr>
          <w:p w:rsidR="00C62468" w:rsidRPr="00C62468" w:rsidRDefault="00C62468" w:rsidP="00C62468">
            <w:pPr>
              <w:spacing w:line="360" w:lineRule="auto"/>
              <w:ind w:firstLine="0"/>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8176,37</w:t>
            </w:r>
          </w:p>
        </w:tc>
      </w:tr>
    </w:tbl>
    <w:p w:rsidR="00C62468" w:rsidRPr="00C62468" w:rsidRDefault="00C62468" w:rsidP="00C62468">
      <w:pPr>
        <w:spacing w:after="0" w:line="360" w:lineRule="auto"/>
        <w:jc w:val="center"/>
        <w:rPr>
          <w:rFonts w:ascii="Calibri" w:eastAsia="Calibri" w:hAnsi="Calibri" w:cs="Times New Roman"/>
          <w:b/>
          <w:bCs/>
        </w:rPr>
      </w:pPr>
    </w:p>
    <w:p w:rsidR="00C62468" w:rsidRPr="00C62468" w:rsidRDefault="00C62468" w:rsidP="00C62468">
      <w:pPr>
        <w:spacing w:after="0" w:line="240" w:lineRule="auto"/>
        <w:jc w:val="center"/>
        <w:rPr>
          <w:rFonts w:ascii="Times New Roman" w:eastAsia="Calibri" w:hAnsi="Times New Roman" w:cs="Times New Roman"/>
          <w:b/>
          <w:bCs/>
        </w:rPr>
      </w:pP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sz w:val="28"/>
          <w:szCs w:val="28"/>
        </w:rPr>
      </w:pPr>
      <w:r w:rsidRPr="00C62468">
        <w:rPr>
          <w:rFonts w:ascii="Times New Roman" w:eastAsia="Calibri" w:hAnsi="Times New Roman" w:cs="Times New Roman"/>
          <w:b/>
          <w:sz w:val="28"/>
          <w:szCs w:val="28"/>
        </w:rPr>
        <w:t>IŠORINIŲ VEIKSNIŲ (PEST) ANALIZĖ</w:t>
      </w:r>
    </w:p>
    <w:p w:rsidR="00C62468" w:rsidRPr="00C62468" w:rsidRDefault="00C62468" w:rsidP="00C62468">
      <w:pPr>
        <w:spacing w:after="0" w:line="360" w:lineRule="auto"/>
        <w:jc w:val="center"/>
        <w:rPr>
          <w:rFonts w:ascii="Times New Roman" w:eastAsia="Calibri" w:hAnsi="Times New Roman" w:cs="Times New Roman"/>
          <w:b/>
          <w:sz w:val="24"/>
          <w:szCs w:val="24"/>
        </w:rPr>
      </w:pPr>
    </w:p>
    <w:p w:rsidR="00C62468" w:rsidRPr="00C62468" w:rsidRDefault="00C62468" w:rsidP="00C62468">
      <w:pPr>
        <w:spacing w:after="0" w:line="360" w:lineRule="auto"/>
        <w:jc w:val="both"/>
        <w:rPr>
          <w:rFonts w:ascii="Times New Roman" w:eastAsia="Times New Roman" w:hAnsi="Times New Roman" w:cs="Times New Roman"/>
          <w:color w:val="000000"/>
          <w:sz w:val="24"/>
          <w:szCs w:val="24"/>
          <w:lang w:eastAsia="lt-LT"/>
        </w:rPr>
      </w:pPr>
      <w:r w:rsidRPr="00C62468">
        <w:rPr>
          <w:rFonts w:ascii="Times New Roman" w:eastAsia="Calibri" w:hAnsi="Times New Roman" w:cs="Times New Roman"/>
          <w:b/>
          <w:sz w:val="24"/>
          <w:szCs w:val="24"/>
        </w:rPr>
        <w:t>Politiniai veiksniai</w:t>
      </w:r>
      <w:r w:rsidRPr="00C62468">
        <w:rPr>
          <w:rFonts w:ascii="Times New Roman" w:eastAsia="Calibri" w:hAnsi="Times New Roman" w:cs="Times New Roman"/>
          <w:sz w:val="24"/>
          <w:szCs w:val="24"/>
        </w:rPr>
        <w:t xml:space="preserve">. Tiek Europos Sąjungos, tiek Lietuvos politikos formavimą atspindintys dokumentai gan glaudžiai koreliuoja su daugiafunkcių centrų koncepcija - </w:t>
      </w:r>
      <w:r w:rsidRPr="00C62468">
        <w:rPr>
          <w:rFonts w:ascii="Times New Roman" w:eastAsia="Times New Roman" w:hAnsi="Times New Roman" w:cs="Times New Roman"/>
          <w:color w:val="000000"/>
          <w:sz w:val="24"/>
          <w:szCs w:val="24"/>
          <w:lang w:eastAsia="lt-LT"/>
        </w:rPr>
        <w:t>švietimo kokybė, socialinė sanglauda, kūrybiškumas, aktyvus pilietiškumas, mokymasis visą gyvenimą Minėti prioritetai išskirtini koncepcijoje, Europos Sąjungos „ET 20</w:t>
      </w:r>
      <w:r w:rsidRPr="00C62468">
        <w:rPr>
          <w:rFonts w:ascii="Times New Roman" w:eastAsia="Times New Roman" w:hAnsi="Times New Roman" w:cs="Times New Roman"/>
          <w:color w:val="000000"/>
          <w:sz w:val="24"/>
          <w:szCs w:val="24"/>
          <w:lang w:val="en-US" w:eastAsia="lt-LT"/>
        </w:rPr>
        <w:t>30</w:t>
      </w:r>
      <w:r w:rsidRPr="00C62468">
        <w:rPr>
          <w:rFonts w:ascii="Times New Roman" w:eastAsia="Times New Roman" w:hAnsi="Times New Roman" w:cs="Times New Roman"/>
          <w:color w:val="000000"/>
          <w:sz w:val="24"/>
          <w:szCs w:val="24"/>
          <w:lang w:eastAsia="lt-LT"/>
        </w:rPr>
        <w:t xml:space="preserve">“ programoje, įvairiuose mūsų šalies strateginiuose dokumentuose. Šiuose dokumentuose atsispindi ryšių tarp akademinių žinių ir praktinių įgūdžių svarba, veikimo ir mokymosi kartu, mokymosi „be sienų“  principai, tolerancija ir lygių galimybių užtikrinimas. Viešojo sektoriaus politikos formavime </w:t>
      </w:r>
      <w:r w:rsidRPr="00C62468">
        <w:rPr>
          <w:rFonts w:ascii="Times New Roman" w:eastAsia="Calibri" w:hAnsi="Times New Roman" w:cs="Times New Roman"/>
          <w:sz w:val="24"/>
          <w:szCs w:val="24"/>
        </w:rPr>
        <w:t>akcentuojamos nuolatinio mokymosi ir tobulėjimo, aktyvaus dalyvavimo, teikiamų paslaugų kokybės veiklos kryptys.</w:t>
      </w:r>
    </w:p>
    <w:p w:rsidR="00C62468" w:rsidRPr="00C62468" w:rsidRDefault="00C62468" w:rsidP="00C62468">
      <w:pPr>
        <w:spacing w:after="0" w:line="360" w:lineRule="auto"/>
        <w:contextualSpacing/>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lastRenderedPageBreak/>
        <w:t>Politikos formavimo dokumentuose plačiai kalbama apie visuomenės narių dalyvavimą įvairiose veiklose „Žmonės yra pagrindiniai veikėjai žinių visuomenėje. Vertingiausia – žmogaus gebėjimas nuolat besikeičiančioje aplinkoje naudoti žinias veiksmingai ir protingai. Siekdami pilnai išvystyti šį gebėjimą, žmonės turi norėti ir galėti imti gyvenimą į savo rankas – trumpai tariant, tapti aktyviais piliečiais. Nuolatinis tobulėjimas yra geriausias būdas priimti permainų iššūkius“ (</w:t>
      </w:r>
      <w:bookmarkStart w:id="13" w:name="_Hlk9633455"/>
      <w:r w:rsidRPr="00C62468">
        <w:rPr>
          <w:rFonts w:ascii="Times New Roman" w:eastAsia="Calibri" w:hAnsi="Times New Roman" w:cs="Times New Roman"/>
          <w:sz w:val="24"/>
          <w:szCs w:val="24"/>
        </w:rPr>
        <w:t>Bendros 2015 m. Komisijos ir Tarybos komunikatas Europos parlamentui</w:t>
      </w:r>
      <w:bookmarkEnd w:id="13"/>
      <w:r w:rsidRPr="00C62468">
        <w:rPr>
          <w:rFonts w:ascii="Times New Roman" w:eastAsia="Calibri" w:hAnsi="Times New Roman" w:cs="Times New Roman"/>
          <w:sz w:val="24"/>
          <w:szCs w:val="24"/>
        </w:rPr>
        <w:t>). Komunikate pabrėžiama sisteminio bendradarbiavimo įvairiose politikos srityse: užimtumo, švietimo, mokymo, kovos su diskriminacija, socialinės politikos, pilietiškumo (įskaitant Sąjungos pilietybę) ir jaunimo, taip pat kultūros, sporto ir sveikatos, svarba. Visos ES valstybės narės suinteresuotos visapusiškai išnaudoti švietimo ir kultūros potencialą skatinti darbo vietų kūrimą, ekonomikos augimą ir socialinį teisingumą bei jų užtikrinamą galimybę išgyventi įvairius Europos tapatybės aspektus.</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Daugiafunkcių centrų veikloje įgyvendinami šie Bendros Komisijos ir Tarybos komunikate Europos parlamentui (</w:t>
      </w:r>
      <w:r w:rsidRPr="00C62468">
        <w:rPr>
          <w:rFonts w:ascii="Times New Roman" w:eastAsia="Calibri" w:hAnsi="Times New Roman" w:cs="Times New Roman"/>
          <w:sz w:val="24"/>
          <w:szCs w:val="24"/>
          <w:lang w:val="en-US"/>
        </w:rPr>
        <w:t>2015)</w:t>
      </w:r>
      <w:r w:rsidRPr="00C62468">
        <w:rPr>
          <w:rFonts w:ascii="Times New Roman" w:eastAsia="Calibri" w:hAnsi="Times New Roman" w:cs="Times New Roman"/>
          <w:sz w:val="24"/>
          <w:szCs w:val="24"/>
        </w:rPr>
        <w:t xml:space="preserve"> pateikti aspektai:</w:t>
      </w:r>
    </w:p>
    <w:p w:rsidR="00C62468" w:rsidRPr="00C62468" w:rsidRDefault="00C62468" w:rsidP="00C62468">
      <w:pPr>
        <w:numPr>
          <w:ilvl w:val="0"/>
          <w:numId w:val="4"/>
        </w:numPr>
        <w:spacing w:after="200" w:line="360" w:lineRule="auto"/>
        <w:ind w:left="714" w:hanging="357"/>
        <w:contextualSpacing/>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Mokymosi visą gyvenimą skatinimas: siekiant konvergencijos ir didinant skaičių asmenų, kurie mokosi visą gyvenimą, siekiant jų skaičių padidinti iki 25 proc. 2025 m.</w:t>
      </w:r>
    </w:p>
    <w:p w:rsidR="00C62468" w:rsidRPr="00C62468" w:rsidRDefault="00C62468" w:rsidP="00C62468">
      <w:pPr>
        <w:numPr>
          <w:ilvl w:val="0"/>
          <w:numId w:val="4"/>
        </w:numPr>
        <w:spacing w:after="200" w:line="360" w:lineRule="auto"/>
        <w:ind w:left="714" w:hanging="357"/>
        <w:contextualSpacing/>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Pirmenybė inovacijoms ir skaitmeniniams įgūdžiams: skatinant naujovišką ir skaitmeninį mokymą ir parengiant naują veiksmų skaitmeninio švietimo srityje planą.</w:t>
      </w:r>
    </w:p>
    <w:p w:rsidR="00C62468" w:rsidRPr="00C62468" w:rsidRDefault="00C62468" w:rsidP="00C62468">
      <w:pPr>
        <w:numPr>
          <w:ilvl w:val="0"/>
          <w:numId w:val="4"/>
        </w:numPr>
        <w:spacing w:after="200" w:line="360" w:lineRule="auto"/>
        <w:ind w:left="714" w:hanging="357"/>
        <w:contextualSpacing/>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Investicijos į švietimą: naudojantis Europos semestru teikti paramą struktūrinėms reformoms švietimo politikai gerinti, naudoti ES finansavimą ir ES investicijų priemone švietimui finansuoti, nustatant valstybėms narėms lyginamąjį standartą.</w:t>
      </w:r>
    </w:p>
    <w:p w:rsidR="00C62468" w:rsidRPr="00C62468" w:rsidRDefault="00C62468" w:rsidP="00C62468">
      <w:pPr>
        <w:numPr>
          <w:ilvl w:val="0"/>
          <w:numId w:val="4"/>
        </w:numPr>
        <w:spacing w:after="200" w:line="360" w:lineRule="auto"/>
        <w:ind w:left="714" w:hanging="357"/>
        <w:contextualSpacing/>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Kultūros paveldo išsaugojimas ir Europos tapatybės bei kultūros suvokimo skatinimas: Pasinaudojant 2018 m. kaip Europos kultūros paveldo metų įdirbiu išplėtoti veiksmingą Europos kultūros darbotvarkę ir parengti Tarybos rekomendacijas dėl bendrų vertybių.</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b/>
          <w:sz w:val="24"/>
          <w:szCs w:val="24"/>
        </w:rPr>
        <w:t xml:space="preserve">Ekonominiai veiksniai. </w:t>
      </w:r>
      <w:r w:rsidRPr="00C62468">
        <w:rPr>
          <w:rFonts w:ascii="Times New Roman" w:eastAsia="Calibri" w:hAnsi="Times New Roman" w:cs="Times New Roman"/>
          <w:sz w:val="24"/>
          <w:szCs w:val="24"/>
        </w:rPr>
        <w:t xml:space="preserve">Lietuvos bendrasis vidaus produktas (BVP) yra vienas iš pagrindinių rodiklių, rodančių šalies </w:t>
      </w:r>
      <w:hyperlink r:id="rId10">
        <w:r w:rsidRPr="00C62468">
          <w:rPr>
            <w:rFonts w:ascii="Times New Roman" w:eastAsia="Calibri" w:hAnsi="Times New Roman" w:cs="Times New Roman"/>
            <w:sz w:val="24"/>
            <w:szCs w:val="24"/>
          </w:rPr>
          <w:t>ekonomikos</w:t>
        </w:r>
      </w:hyperlink>
      <w:r w:rsidRPr="00C62468">
        <w:rPr>
          <w:rFonts w:ascii="Times New Roman" w:eastAsia="Calibri" w:hAnsi="Times New Roman" w:cs="Times New Roman"/>
          <w:sz w:val="24"/>
          <w:szCs w:val="24"/>
        </w:rPr>
        <w:t xml:space="preserve"> išsivystymo lygį.</w:t>
      </w:r>
      <w:r w:rsidRPr="00C62468">
        <w:rPr>
          <w:rFonts w:ascii="Calibri" w:eastAsia="Calibri" w:hAnsi="Calibri" w:cs="Times New Roman"/>
        </w:rPr>
        <w:t xml:space="preserve"> </w:t>
      </w:r>
      <w:r w:rsidRPr="00C62468">
        <w:rPr>
          <w:rFonts w:ascii="Times New Roman" w:eastAsia="Calibri" w:hAnsi="Times New Roman" w:cs="Times New Roman"/>
          <w:sz w:val="24"/>
          <w:szCs w:val="24"/>
        </w:rPr>
        <w:t>Šalis, kuri sugeba didinti BVP, susikuria sąlygas pagerinti savo piliečių gyvenimo lygį, padaryti kokybiškesnes gyvenimo sąlygas.</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Calibri" w:eastAsia="Calibri" w:hAnsi="Calibri" w:cs="Times New Roman"/>
          <w:noProof/>
          <w:lang w:eastAsia="lt-LT"/>
        </w:rPr>
        <w:lastRenderedPageBreak/>
        <w:drawing>
          <wp:inline distT="0" distB="0" distL="0" distR="0" wp14:anchorId="2DB90B77" wp14:editId="2EF999C4">
            <wp:extent cx="5781675" cy="34099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675" cy="3409950"/>
                    </a:xfrm>
                    <a:prstGeom prst="rect">
                      <a:avLst/>
                    </a:prstGeom>
                  </pic:spPr>
                </pic:pic>
              </a:graphicData>
            </a:graphic>
          </wp:inline>
        </w:drawing>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Apskričių BVP vienam gyventojui nuo Lietuvos vidurkio</w:t>
      </w:r>
    </w:p>
    <w:p w:rsidR="00C62468" w:rsidRPr="00C62468" w:rsidRDefault="00C62468" w:rsidP="00C62468">
      <w:pPr>
        <w:tabs>
          <w:tab w:val="left" w:pos="1276"/>
        </w:tabs>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Bendras BVP Lietuvoje kasmet auga. Šalies 2018 m. BVP, tenkantis vienam gyventojui, lyginant su 2017 m. ūgtelėjo apie 8 %, tačiau BVP vienam gyventojui atotrūkis tarp Vilniaus ir Panevėžio apskričių išliko 2 kartus didesnis.</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Lietuvoje veikiantys daugiafunkciai centrai daugiausia teikia švietimo, kultūros ir sporto bei socialines paslaugas, todėl detalizuojami būtent šių sričių ekonominiai rodikliai.</w:t>
      </w:r>
    </w:p>
    <w:p w:rsidR="00C62468" w:rsidRPr="00C62468" w:rsidRDefault="00C62468" w:rsidP="00C62468">
      <w:pPr>
        <w:tabs>
          <w:tab w:val="left" w:pos="1276"/>
        </w:tabs>
        <w:spacing w:after="0" w:line="360" w:lineRule="auto"/>
        <w:jc w:val="both"/>
        <w:rPr>
          <w:rFonts w:ascii="Times New Roman" w:eastAsia="Calibri" w:hAnsi="Times New Roman" w:cs="Times New Roman"/>
          <w:sz w:val="24"/>
          <w:szCs w:val="24"/>
        </w:rPr>
      </w:pPr>
    </w:p>
    <w:p w:rsidR="00C62468" w:rsidRPr="00C62468" w:rsidRDefault="00C62468" w:rsidP="00C62468">
      <w:pPr>
        <w:tabs>
          <w:tab w:val="left" w:pos="1276"/>
        </w:tabs>
        <w:spacing w:after="0" w:line="360" w:lineRule="auto"/>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lang w:val="en-US"/>
        </w:rPr>
        <w:t xml:space="preserve">8. </w:t>
      </w:r>
      <w:r w:rsidRPr="00C62468">
        <w:rPr>
          <w:rFonts w:ascii="Times New Roman" w:eastAsia="Calibri" w:hAnsi="Times New Roman" w:cs="Times New Roman"/>
          <w:sz w:val="24"/>
          <w:szCs w:val="24"/>
        </w:rPr>
        <w:t>lentelė</w:t>
      </w:r>
    </w:p>
    <w:p w:rsidR="00C62468" w:rsidRPr="00C62468" w:rsidRDefault="00C62468" w:rsidP="00C6246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62468">
        <w:rPr>
          <w:rFonts w:ascii="Times New Roman" w:eastAsia="Calibri" w:hAnsi="Times New Roman" w:cs="Times New Roman"/>
          <w:b/>
          <w:bCs/>
          <w:color w:val="000000"/>
          <w:sz w:val="24"/>
          <w:szCs w:val="24"/>
        </w:rPr>
        <w:t>Socialinių programų finansavimas Lietuvoje</w:t>
      </w:r>
    </w:p>
    <w:tbl>
      <w:tblPr>
        <w:tblStyle w:val="Lentelstinklelis"/>
        <w:tblW w:w="5000" w:type="pct"/>
        <w:tblLook w:val="04A0" w:firstRow="1" w:lastRow="0" w:firstColumn="1" w:lastColumn="0" w:noHBand="0" w:noVBand="1"/>
      </w:tblPr>
      <w:tblGrid>
        <w:gridCol w:w="2548"/>
        <w:gridCol w:w="3539"/>
        <w:gridCol w:w="3541"/>
      </w:tblGrid>
      <w:tr w:rsidR="00C62468" w:rsidRPr="00C62468" w:rsidTr="00BD7062">
        <w:tc>
          <w:tcPr>
            <w:tcW w:w="1323" w:type="pct"/>
            <w:vMerge w:val="restart"/>
          </w:tcPr>
          <w:p w:rsidR="00C62468" w:rsidRPr="00C62468" w:rsidRDefault="00C62468" w:rsidP="00C62468">
            <w:pPr>
              <w:autoSpaceDE w:val="0"/>
              <w:autoSpaceDN w:val="0"/>
              <w:adjustRightInd w:val="0"/>
              <w:ind w:firstLine="0"/>
              <w:rPr>
                <w:rFonts w:ascii="Times New Roman" w:eastAsia="Calibri" w:hAnsi="Times New Roman" w:cs="Times New Roman"/>
                <w:b/>
                <w:bCs/>
                <w:color w:val="000000"/>
              </w:rPr>
            </w:pPr>
            <w:r w:rsidRPr="00C62468">
              <w:rPr>
                <w:rFonts w:ascii="Times New Roman" w:eastAsia="Calibri" w:hAnsi="Times New Roman" w:cs="Times New Roman"/>
                <w:b/>
                <w:bCs/>
                <w:color w:val="000000"/>
              </w:rPr>
              <w:t>Programos pavadinimas</w:t>
            </w:r>
          </w:p>
        </w:tc>
        <w:tc>
          <w:tcPr>
            <w:tcW w:w="1838" w:type="pct"/>
          </w:tcPr>
          <w:p w:rsidR="00C62468" w:rsidRPr="00C62468" w:rsidRDefault="00C62468" w:rsidP="00C62468">
            <w:pPr>
              <w:autoSpaceDE w:val="0"/>
              <w:autoSpaceDN w:val="0"/>
              <w:adjustRightInd w:val="0"/>
              <w:ind w:firstLine="0"/>
              <w:jc w:val="center"/>
              <w:rPr>
                <w:rFonts w:ascii="Times New Roman" w:eastAsia="Calibri" w:hAnsi="Times New Roman" w:cs="Times New Roman"/>
                <w:b/>
                <w:bCs/>
                <w:color w:val="000000"/>
              </w:rPr>
            </w:pPr>
            <w:r w:rsidRPr="00C62468">
              <w:rPr>
                <w:rFonts w:ascii="Times New Roman" w:eastAsia="Calibri" w:hAnsi="Times New Roman" w:cs="Times New Roman"/>
                <w:b/>
                <w:bCs/>
                <w:color w:val="000000"/>
              </w:rPr>
              <w:t>2018 metai</w:t>
            </w:r>
          </w:p>
        </w:tc>
        <w:tc>
          <w:tcPr>
            <w:tcW w:w="1839" w:type="pct"/>
          </w:tcPr>
          <w:p w:rsidR="00C62468" w:rsidRPr="00C62468" w:rsidRDefault="00C62468" w:rsidP="00C62468">
            <w:pPr>
              <w:autoSpaceDE w:val="0"/>
              <w:autoSpaceDN w:val="0"/>
              <w:adjustRightInd w:val="0"/>
              <w:ind w:firstLine="0"/>
              <w:jc w:val="center"/>
              <w:rPr>
                <w:rFonts w:ascii="Times New Roman" w:eastAsia="Calibri" w:hAnsi="Times New Roman" w:cs="Times New Roman"/>
                <w:b/>
                <w:bCs/>
                <w:color w:val="000000"/>
              </w:rPr>
            </w:pPr>
            <w:r w:rsidRPr="00C62468">
              <w:rPr>
                <w:rFonts w:ascii="Times New Roman" w:eastAsia="Calibri" w:hAnsi="Times New Roman" w:cs="Times New Roman"/>
                <w:b/>
                <w:bCs/>
                <w:color w:val="000000"/>
              </w:rPr>
              <w:t>2019 metai</w:t>
            </w:r>
          </w:p>
        </w:tc>
      </w:tr>
      <w:tr w:rsidR="00C62468" w:rsidRPr="00C62468" w:rsidTr="00BD7062">
        <w:tc>
          <w:tcPr>
            <w:tcW w:w="1323" w:type="pct"/>
            <w:vMerge/>
          </w:tcPr>
          <w:p w:rsidR="00C62468" w:rsidRPr="00C62468" w:rsidRDefault="00C62468" w:rsidP="00C62468">
            <w:pPr>
              <w:autoSpaceDE w:val="0"/>
              <w:autoSpaceDN w:val="0"/>
              <w:adjustRightInd w:val="0"/>
              <w:ind w:firstLine="0"/>
              <w:rPr>
                <w:rFonts w:ascii="Times New Roman" w:eastAsia="Calibri" w:hAnsi="Times New Roman" w:cs="Times New Roman"/>
                <w:color w:val="000000"/>
              </w:rPr>
            </w:pPr>
          </w:p>
        </w:tc>
        <w:tc>
          <w:tcPr>
            <w:tcW w:w="3677" w:type="pct"/>
            <w:gridSpan w:val="2"/>
          </w:tcPr>
          <w:p w:rsidR="00C62468" w:rsidRPr="00C62468" w:rsidRDefault="00C62468" w:rsidP="00C62468">
            <w:pPr>
              <w:autoSpaceDE w:val="0"/>
              <w:autoSpaceDN w:val="0"/>
              <w:adjustRightInd w:val="0"/>
              <w:ind w:firstLine="0"/>
              <w:jc w:val="center"/>
              <w:rPr>
                <w:rFonts w:ascii="Times New Roman" w:eastAsia="Calibri" w:hAnsi="Times New Roman" w:cs="Times New Roman"/>
                <w:b/>
                <w:bCs/>
                <w:i/>
                <w:iCs/>
                <w:color w:val="000000"/>
              </w:rPr>
            </w:pPr>
            <w:r w:rsidRPr="00C62468">
              <w:rPr>
                <w:rFonts w:ascii="Times New Roman" w:eastAsia="Calibri" w:hAnsi="Times New Roman" w:cs="Times New Roman"/>
                <w:b/>
                <w:bCs/>
                <w:i/>
                <w:iCs/>
                <w:color w:val="000000"/>
              </w:rPr>
              <w:t>Faktiškai panaudota (tūkst. Eur.)</w:t>
            </w:r>
          </w:p>
        </w:tc>
      </w:tr>
      <w:tr w:rsidR="00C62468" w:rsidRPr="00C62468" w:rsidTr="00BD7062">
        <w:tc>
          <w:tcPr>
            <w:tcW w:w="1323" w:type="pct"/>
          </w:tcPr>
          <w:p w:rsidR="00C62468" w:rsidRPr="00C62468" w:rsidRDefault="00C62468" w:rsidP="00C62468">
            <w:pPr>
              <w:autoSpaceDE w:val="0"/>
              <w:autoSpaceDN w:val="0"/>
              <w:adjustRightInd w:val="0"/>
              <w:ind w:firstLine="0"/>
              <w:rPr>
                <w:rFonts w:ascii="Times New Roman" w:eastAsia="Calibri" w:hAnsi="Times New Roman" w:cs="Times New Roman"/>
                <w:color w:val="000000"/>
              </w:rPr>
            </w:pPr>
            <w:r w:rsidRPr="00C62468">
              <w:rPr>
                <w:rFonts w:ascii="Times New Roman" w:eastAsia="Calibri" w:hAnsi="Times New Roman" w:cs="Times New Roman"/>
              </w:rPr>
              <w:t>Užimtumo didinimas</w:t>
            </w:r>
          </w:p>
        </w:tc>
        <w:tc>
          <w:tcPr>
            <w:tcW w:w="1838" w:type="pct"/>
          </w:tcPr>
          <w:p w:rsidR="00C62468" w:rsidRPr="00C62468" w:rsidRDefault="00C62468" w:rsidP="00C62468">
            <w:pPr>
              <w:autoSpaceDE w:val="0"/>
              <w:autoSpaceDN w:val="0"/>
              <w:adjustRightInd w:val="0"/>
              <w:ind w:firstLine="0"/>
              <w:rPr>
                <w:rFonts w:ascii="Times New Roman" w:eastAsia="Calibri" w:hAnsi="Times New Roman" w:cs="Times New Roman"/>
                <w:color w:val="000000"/>
              </w:rPr>
            </w:pPr>
            <w:r w:rsidRPr="00C62468">
              <w:rPr>
                <w:rFonts w:ascii="Times New Roman" w:eastAsia="Calibri" w:hAnsi="Times New Roman" w:cs="Times New Roman"/>
              </w:rPr>
              <w:t>116.630</w:t>
            </w:r>
          </w:p>
        </w:tc>
        <w:tc>
          <w:tcPr>
            <w:tcW w:w="1839" w:type="pct"/>
          </w:tcPr>
          <w:p w:rsidR="00C62468" w:rsidRPr="00C62468" w:rsidRDefault="00C62468" w:rsidP="00C62468">
            <w:pPr>
              <w:autoSpaceDE w:val="0"/>
              <w:autoSpaceDN w:val="0"/>
              <w:adjustRightInd w:val="0"/>
              <w:ind w:firstLine="0"/>
              <w:rPr>
                <w:rFonts w:ascii="Times New Roman" w:eastAsia="Calibri" w:hAnsi="Times New Roman" w:cs="Times New Roman"/>
                <w:color w:val="000000"/>
              </w:rPr>
            </w:pPr>
            <w:r w:rsidRPr="00C62468">
              <w:rPr>
                <w:rFonts w:ascii="Times New Roman" w:eastAsia="Calibri" w:hAnsi="Times New Roman" w:cs="Times New Roman"/>
              </w:rPr>
              <w:t>131.266</w:t>
            </w:r>
          </w:p>
        </w:tc>
      </w:tr>
      <w:tr w:rsidR="00C62468" w:rsidRPr="00C62468" w:rsidTr="00BD7062">
        <w:tc>
          <w:tcPr>
            <w:tcW w:w="1323"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Socialinių paslaugų ir integracijos plėtra</w:t>
            </w:r>
          </w:p>
        </w:tc>
        <w:tc>
          <w:tcPr>
            <w:tcW w:w="1838"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129.674</w:t>
            </w:r>
          </w:p>
        </w:tc>
        <w:tc>
          <w:tcPr>
            <w:tcW w:w="1839"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149.600</w:t>
            </w:r>
          </w:p>
        </w:tc>
      </w:tr>
      <w:tr w:rsidR="00C62468" w:rsidRPr="00C62468" w:rsidTr="00BD7062">
        <w:tc>
          <w:tcPr>
            <w:tcW w:w="1323"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Socialinės atskirties mažinimas</w:t>
            </w:r>
          </w:p>
        </w:tc>
        <w:tc>
          <w:tcPr>
            <w:tcW w:w="1838"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1.081.384,8</w:t>
            </w:r>
          </w:p>
        </w:tc>
        <w:tc>
          <w:tcPr>
            <w:tcW w:w="1839" w:type="pct"/>
          </w:tcPr>
          <w:p w:rsidR="00C62468" w:rsidRPr="00C62468" w:rsidRDefault="00C62468" w:rsidP="00C62468">
            <w:pPr>
              <w:autoSpaceDE w:val="0"/>
              <w:autoSpaceDN w:val="0"/>
              <w:adjustRightInd w:val="0"/>
              <w:ind w:firstLine="0"/>
              <w:rPr>
                <w:rFonts w:ascii="Times New Roman" w:eastAsia="Calibri" w:hAnsi="Times New Roman" w:cs="Times New Roman"/>
              </w:rPr>
            </w:pPr>
            <w:r w:rsidRPr="00C62468">
              <w:rPr>
                <w:rFonts w:ascii="Times New Roman" w:eastAsia="Calibri" w:hAnsi="Times New Roman" w:cs="Times New Roman"/>
              </w:rPr>
              <w:t>2.860.123</w:t>
            </w:r>
          </w:p>
        </w:tc>
      </w:tr>
    </w:tbl>
    <w:p w:rsidR="00C62468" w:rsidRPr="00C62468" w:rsidRDefault="00C62468" w:rsidP="00C62468">
      <w:pPr>
        <w:autoSpaceDE w:val="0"/>
        <w:autoSpaceDN w:val="0"/>
        <w:adjustRightInd w:val="0"/>
        <w:spacing w:after="0" w:line="240" w:lineRule="auto"/>
        <w:jc w:val="both"/>
        <w:rPr>
          <w:rFonts w:ascii="Times New Roman" w:eastAsia="Calibri" w:hAnsi="Times New Roman" w:cs="Times New Roman"/>
          <w:color w:val="000000"/>
          <w:sz w:val="24"/>
          <w:szCs w:val="24"/>
        </w:rPr>
      </w:pP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color w:val="000000"/>
          <w:sz w:val="24"/>
          <w:szCs w:val="24"/>
        </w:rPr>
      </w:pPr>
      <w:r w:rsidRPr="00C62468">
        <w:rPr>
          <w:rFonts w:ascii="Times New Roman" w:eastAsia="Calibri" w:hAnsi="Times New Roman" w:cs="Times New Roman"/>
          <w:color w:val="000000"/>
          <w:sz w:val="24"/>
          <w:szCs w:val="24"/>
        </w:rPr>
        <w:t>Asignavimai socialinėms programoms nuolat didėja. ES fondų ir kitų tarptautinių organizacijų parama (priklausomai nuo programos) sudaro nuo maždaug 20 iki 50 procentų.</w:t>
      </w: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color w:val="000000"/>
          <w:sz w:val="24"/>
          <w:szCs w:val="24"/>
        </w:rPr>
      </w:pPr>
      <w:r w:rsidRPr="00C62468">
        <w:rPr>
          <w:rFonts w:ascii="Calibri" w:eastAsia="Calibri" w:hAnsi="Calibri" w:cs="Times New Roman"/>
          <w:noProof/>
          <w:lang w:eastAsia="lt-LT"/>
        </w:rPr>
        <w:lastRenderedPageBreak/>
        <w:drawing>
          <wp:inline distT="0" distB="0" distL="0" distR="0" wp14:anchorId="388CBD42" wp14:editId="0A456AA4">
            <wp:extent cx="6120130" cy="28956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895600"/>
                    </a:xfrm>
                    <a:prstGeom prst="rect">
                      <a:avLst/>
                    </a:prstGeom>
                  </pic:spPr>
                </pic:pic>
              </a:graphicData>
            </a:graphic>
          </wp:inline>
        </w:drawing>
      </w:r>
    </w:p>
    <w:p w:rsidR="00C62468" w:rsidRPr="00C62468" w:rsidRDefault="00C62468" w:rsidP="00C62468">
      <w:pPr>
        <w:numPr>
          <w:ilvl w:val="0"/>
          <w:numId w:val="6"/>
        </w:numPr>
        <w:autoSpaceDE w:val="0"/>
        <w:autoSpaceDN w:val="0"/>
        <w:adjustRightInd w:val="0"/>
        <w:spacing w:after="0" w:line="360" w:lineRule="auto"/>
        <w:contextualSpacing/>
        <w:jc w:val="center"/>
        <w:rPr>
          <w:rFonts w:ascii="Times New Roman" w:eastAsia="Calibri" w:hAnsi="Times New Roman" w:cs="Times New Roman"/>
          <w:b/>
          <w:bCs/>
          <w:color w:val="000000"/>
          <w:sz w:val="20"/>
          <w:szCs w:val="20"/>
        </w:rPr>
      </w:pPr>
      <w:r w:rsidRPr="00C62468">
        <w:rPr>
          <w:rFonts w:ascii="Times New Roman" w:eastAsia="Calibri" w:hAnsi="Times New Roman" w:cs="Times New Roman"/>
          <w:b/>
          <w:bCs/>
          <w:color w:val="000000"/>
          <w:sz w:val="20"/>
          <w:szCs w:val="20"/>
        </w:rPr>
        <w:t xml:space="preserve">pav. </w:t>
      </w:r>
      <w:r w:rsidRPr="00C62468">
        <w:rPr>
          <w:rFonts w:ascii="Times New Roman" w:eastAsia="Calibri" w:hAnsi="Times New Roman" w:cs="Times New Roman"/>
          <w:b/>
          <w:bCs/>
          <w:sz w:val="20"/>
          <w:szCs w:val="20"/>
        </w:rPr>
        <w:t>BVP lėšos, skiriamos kultūrai, proc</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2019 m. Lietuvoje kultūrai buvo skiriama 0,7 proc. BVP lėšų nuo visų valdžios išlaidų, o Latvijoje – 1,0 proc., Estijoje – 1,1 proc. ES šalių narių valdžios išlaidų kultūros paslaugoms vidurkis (BVP dalis) – 0,5 proc.7 Kultūros funkcijoms įgyvendinti 2019 m. centrinė valdžia Lietuvoje skyrė daugiau nei savivalda (atitinkamai 0,4 proc. BVP ir 0,3 proc. BVP). Pagal tai Lietuva ženkliai atsilieka nuo Latvijos (0,4 proc. ir 0,6 proc., iš viso 1 proc. nuo BVP). Dar nėra oficialių duomenų apie BVP lėšų, skiriamų kultūrai, dalį 2020 m. (oficialūs 2020 m. statistikos duomenys turėtų būti paskelbti 2022 m.). Atsižvelgiant į didėjantį finansinių intervencijų poreikį, numatomą ES lėšų investavimą kultūros sektoriuje bei į šalies ekonomines tendencijas, prognozuojame kultūrai skiriamos BVP lėšų dalies augimą, tačiau abejotina, ar bus pasiekta 2020 m. numatyta 1,2 proc. BVP dalis. Užtikrinant kultūros gyvybingumą ir kultūros paslaugų plėtrą, taip pat poreikį atnaujinti ar sukurti trūkstamą kultūros infrastruktūrą, nuosekliai siekiame ir sieksime užtikrinti didesnį kultūros srities finansavimą. Tai ypač svarbu užtikrinant sektoriaus gyvybingumą po COVID-19 pandemijos, kai kultūros sektoriaus veikla iš esmės sustojo ar buvo stipriai apribota. Pažymėtina, kad taip pat svarbus ir didesnis savivaldos dėmesys finansuojant kultūros paslaugas – kultūra yra savarankiška savivaldos funkcija.</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Calibri" w:eastAsia="Calibri" w:hAnsi="Calibri" w:cs="Times New Roman"/>
          <w:noProof/>
          <w:lang w:eastAsia="lt-LT"/>
        </w:rPr>
        <w:drawing>
          <wp:inline distT="0" distB="0" distL="0" distR="0" wp14:anchorId="2418CB01" wp14:editId="6630AC65">
            <wp:extent cx="6120130" cy="167830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678305"/>
                    </a:xfrm>
                    <a:prstGeom prst="rect">
                      <a:avLst/>
                    </a:prstGeom>
                  </pic:spPr>
                </pic:pic>
              </a:graphicData>
            </a:graphic>
          </wp:inline>
        </w:drawing>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Valstybės bei savivaldybių išlaidos švietimui, palyginti su BVP</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lastRenderedPageBreak/>
        <w:t xml:space="preserve">Švietimo finansavimas nefunkcionuoja atskirai nuo visos šalies bendros ekonominės padėties, o vienas iš pagrindinių jos rodiklių – bendrasis vidaus produktas (BVP). Švietimui skiriamos lėšos auga. Didžioji dalis jų yra iš savivaldybių biudžeto. Privačių lėšų Lietuvos švietimas gauna nedaug, todėl yra itin priklausomas nuo valstybės skiriamo finansavimo. Jis auga, bet palyginus su EBPO ir Europos Sąjungos vidurkiu, Lietuvoje tenka maždaug trečdaliu mažesnė suma. </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Times New Roman" w:hAnsi="Times New Roman" w:cs="Times New Roman"/>
          <w:b/>
          <w:sz w:val="24"/>
          <w:szCs w:val="24"/>
          <w:lang w:eastAsia="lt-LT"/>
        </w:rPr>
        <w:t xml:space="preserve">Socialiniai veiksniai. </w:t>
      </w:r>
      <w:r w:rsidRPr="00C62468">
        <w:rPr>
          <w:rFonts w:ascii="Times New Roman" w:eastAsia="Times New Roman" w:hAnsi="Times New Roman" w:cs="Times New Roman"/>
          <w:sz w:val="24"/>
          <w:szCs w:val="24"/>
          <w:lang w:eastAsia="lt-LT"/>
        </w:rPr>
        <w:t>Statistikos departamento duomenimis</w:t>
      </w:r>
      <w:r w:rsidRPr="00C62468">
        <w:rPr>
          <w:rFonts w:ascii="Times New Roman" w:eastAsia="Times New Roman" w:hAnsi="Times New Roman" w:cs="Times New Roman"/>
          <w:b/>
          <w:sz w:val="24"/>
          <w:szCs w:val="24"/>
          <w:lang w:eastAsia="lt-LT"/>
        </w:rPr>
        <w:t xml:space="preserve"> </w:t>
      </w:r>
      <w:r w:rsidRPr="00C62468">
        <w:rPr>
          <w:rFonts w:ascii="Times New Roman" w:eastAsia="Calibri" w:hAnsi="Times New Roman" w:cs="Times New Roman"/>
          <w:sz w:val="24"/>
          <w:szCs w:val="24"/>
        </w:rPr>
        <w:t>20</w:t>
      </w:r>
      <w:r w:rsidRPr="00C62468">
        <w:rPr>
          <w:rFonts w:ascii="Times New Roman" w:eastAsia="Calibri" w:hAnsi="Times New Roman" w:cs="Times New Roman"/>
          <w:sz w:val="24"/>
          <w:szCs w:val="24"/>
          <w:lang w:val="en-US"/>
        </w:rPr>
        <w:t>19</w:t>
      </w:r>
      <w:r w:rsidRPr="00C62468">
        <w:rPr>
          <w:rFonts w:ascii="Times New Roman" w:eastAsia="Calibri" w:hAnsi="Times New Roman" w:cs="Times New Roman"/>
          <w:sz w:val="24"/>
          <w:szCs w:val="24"/>
        </w:rPr>
        <w:t>-2020 m. laikotarpiu gyventojų skaičius tiek mieste tiek kaime nuolat mažėja.</w:t>
      </w:r>
    </w:p>
    <w:p w:rsidR="00C62468" w:rsidRPr="00C62468" w:rsidRDefault="00C62468" w:rsidP="00C62468">
      <w:pPr>
        <w:spacing w:after="0" w:line="360" w:lineRule="auto"/>
        <w:jc w:val="center"/>
        <w:rPr>
          <w:rFonts w:ascii="Times New Roman" w:eastAsia="Calibri" w:hAnsi="Times New Roman" w:cs="Times New Roman"/>
          <w:sz w:val="24"/>
          <w:szCs w:val="24"/>
        </w:rPr>
      </w:pPr>
      <w:r w:rsidRPr="00C62468">
        <w:rPr>
          <w:rFonts w:ascii="Calibri" w:eastAsia="Calibri" w:hAnsi="Calibri" w:cs="Times New Roman"/>
          <w:noProof/>
          <w:lang w:eastAsia="lt-LT"/>
        </w:rPr>
        <w:drawing>
          <wp:inline distT="0" distB="0" distL="0" distR="0" wp14:anchorId="74528005" wp14:editId="1C063E26">
            <wp:extent cx="5438775" cy="4019550"/>
            <wp:effectExtent l="0" t="0" r="9525"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775" cy="4019550"/>
                    </a:xfrm>
                    <a:prstGeom prst="rect">
                      <a:avLst/>
                    </a:prstGeom>
                  </pic:spPr>
                </pic:pic>
              </a:graphicData>
            </a:graphic>
          </wp:inline>
        </w:drawing>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0"/>
          <w:szCs w:val="20"/>
          <w:lang w:val="en-US"/>
        </w:rPr>
      </w:pPr>
      <w:r w:rsidRPr="00C62468">
        <w:rPr>
          <w:rFonts w:ascii="Times New Roman" w:eastAsia="Calibri" w:hAnsi="Times New Roman" w:cs="Times New Roman"/>
          <w:b/>
          <w:bCs/>
          <w:sz w:val="20"/>
          <w:szCs w:val="20"/>
        </w:rPr>
        <w:t xml:space="preserve">pav. Gyventojų skaičiaus pokytis </w:t>
      </w:r>
      <w:r w:rsidRPr="00C62468">
        <w:rPr>
          <w:rFonts w:ascii="Times New Roman" w:eastAsia="Calibri" w:hAnsi="Times New Roman" w:cs="Times New Roman"/>
          <w:b/>
          <w:bCs/>
          <w:sz w:val="20"/>
          <w:szCs w:val="20"/>
          <w:lang w:val="en-US"/>
        </w:rPr>
        <w:t>2019-2020</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Calibri" w:eastAsia="Calibri" w:hAnsi="Calibri" w:cs="Times New Roman"/>
          <w:szCs w:val="24"/>
        </w:rPr>
      </w:pPr>
      <w:r w:rsidRPr="00C62468">
        <w:rPr>
          <w:rFonts w:ascii="Times New Roman" w:eastAsia="Calibri" w:hAnsi="Times New Roman" w:cs="Times New Roman"/>
          <w:color w:val="000000"/>
          <w:sz w:val="24"/>
          <w:szCs w:val="24"/>
        </w:rPr>
        <w:t xml:space="preserve">Biržų rajono savivaldybės gyventojų skaičius pastaraisiais metais mažėjo dėl daugumai šalies periferinių vietovių būdingų priežasčių: padidėjusios gyventojų migracijos į Europos Sąjungos šalis srauto, migracijos į didžiuosius šalies miestus, neigiamos natūralios gyventojų kaitos. </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Calibri" w:eastAsia="Calibri" w:hAnsi="Calibri" w:cs="Times New Roman"/>
          <w:noProof/>
          <w:lang w:eastAsia="lt-LT"/>
        </w:rPr>
        <w:lastRenderedPageBreak/>
        <w:drawing>
          <wp:inline distT="0" distB="0" distL="0" distR="0" wp14:anchorId="368AF4DF" wp14:editId="0BE0EA47">
            <wp:extent cx="6120130" cy="2926080"/>
            <wp:effectExtent l="0" t="0" r="0" b="762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926080"/>
                    </a:xfrm>
                    <a:prstGeom prst="rect">
                      <a:avLst/>
                    </a:prstGeom>
                  </pic:spPr>
                </pic:pic>
              </a:graphicData>
            </a:graphic>
          </wp:inline>
        </w:drawing>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Gyventojų migracija</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Dar viena gan aktuali socialinė problema nuolatinis visuomenės senėjimas bei gimstamumo rodiklių mažėjimas.</w:t>
      </w:r>
    </w:p>
    <w:p w:rsidR="00C62468" w:rsidRPr="00C62468" w:rsidRDefault="00C62468" w:rsidP="00C62468">
      <w:pPr>
        <w:spacing w:after="0" w:line="360" w:lineRule="auto"/>
        <w:jc w:val="center"/>
        <w:rPr>
          <w:rFonts w:ascii="Times New Roman" w:eastAsia="Calibri" w:hAnsi="Times New Roman" w:cs="Times New Roman"/>
          <w:sz w:val="24"/>
          <w:szCs w:val="24"/>
        </w:rPr>
      </w:pPr>
      <w:r w:rsidRPr="00C62468">
        <w:rPr>
          <w:rFonts w:ascii="Calibri" w:eastAsia="Calibri" w:hAnsi="Calibri" w:cs="Times New Roman"/>
          <w:noProof/>
          <w:lang w:eastAsia="lt-LT"/>
        </w:rPr>
        <w:drawing>
          <wp:inline distT="0" distB="0" distL="0" distR="0" wp14:anchorId="4E886269" wp14:editId="61342DF5">
            <wp:extent cx="4562475" cy="347662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2475" cy="3476625"/>
                    </a:xfrm>
                    <a:prstGeom prst="rect">
                      <a:avLst/>
                    </a:prstGeom>
                  </pic:spPr>
                </pic:pic>
              </a:graphicData>
            </a:graphic>
          </wp:inline>
        </w:drawing>
      </w:r>
    </w:p>
    <w:p w:rsidR="00C62468" w:rsidRPr="00C62468" w:rsidRDefault="00C62468" w:rsidP="00C62468">
      <w:pPr>
        <w:numPr>
          <w:ilvl w:val="0"/>
          <w:numId w:val="6"/>
        </w:numPr>
        <w:spacing w:after="0" w:line="360" w:lineRule="auto"/>
        <w:contextualSpacing/>
        <w:jc w:val="center"/>
        <w:rPr>
          <w:rFonts w:ascii="Times New Roman" w:eastAsia="Calibri" w:hAnsi="Times New Roman" w:cs="Times New Roman"/>
          <w:b/>
          <w:bCs/>
          <w:sz w:val="20"/>
          <w:szCs w:val="20"/>
        </w:rPr>
      </w:pPr>
      <w:r w:rsidRPr="00C62468">
        <w:rPr>
          <w:rFonts w:ascii="Times New Roman" w:eastAsia="Calibri" w:hAnsi="Times New Roman" w:cs="Times New Roman"/>
          <w:b/>
          <w:bCs/>
          <w:sz w:val="20"/>
          <w:szCs w:val="20"/>
        </w:rPr>
        <w:t>pav. Gimstamumo prognozės</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Išanalizavus statistinę informaciją darytina išvada, kad daugiafunkcis centras nuolat turės koreguoti savo teikiamų paslaugų spektrą. Padidės senyvo amžiaus žmonėms skirtų paslaugų poreikis. Siekiant išlaikyti kaimiškose teritorijose jaunas šeimas būtina užtikrinti kuo geresnę jiems taikomų paslaugų kokybę </w:t>
      </w:r>
    </w:p>
    <w:p w:rsidR="00C62468" w:rsidRPr="00C62468" w:rsidRDefault="00C62468" w:rsidP="00C62468">
      <w:pPr>
        <w:spacing w:after="0" w:line="360" w:lineRule="auto"/>
        <w:jc w:val="both"/>
        <w:rPr>
          <w:rFonts w:ascii="Times New Roman" w:eastAsia="Times New Roman" w:hAnsi="Times New Roman" w:cs="Times New Roman"/>
          <w:b/>
          <w:sz w:val="24"/>
          <w:szCs w:val="24"/>
        </w:rPr>
      </w:pPr>
      <w:r w:rsidRPr="00C62468">
        <w:rPr>
          <w:rFonts w:ascii="Times New Roman" w:eastAsia="Calibri" w:hAnsi="Times New Roman" w:cs="Times New Roman"/>
          <w:b/>
          <w:sz w:val="24"/>
          <w:szCs w:val="24"/>
        </w:rPr>
        <w:lastRenderedPageBreak/>
        <w:t>Technologiniai veiksniai.</w:t>
      </w:r>
      <w:r w:rsidRPr="00C62468">
        <w:rPr>
          <w:rFonts w:ascii="Times New Roman" w:eastAsia="Times New Roman" w:hAnsi="Times New Roman" w:cs="Times New Roman"/>
          <w:b/>
          <w:i/>
          <w:iCs/>
          <w:sz w:val="24"/>
          <w:szCs w:val="24"/>
        </w:rPr>
        <w:t xml:space="preserve"> </w:t>
      </w:r>
    </w:p>
    <w:p w:rsidR="00C62468" w:rsidRPr="00C62468" w:rsidRDefault="00C62468" w:rsidP="00C62468">
      <w:pPr>
        <w:tabs>
          <w:tab w:val="left" w:pos="9900"/>
        </w:tabs>
        <w:spacing w:after="0" w:line="360" w:lineRule="auto"/>
        <w:jc w:val="both"/>
        <w:rPr>
          <w:rFonts w:ascii="Times New Roman" w:eastAsia="Times New Roman" w:hAnsi="Times New Roman" w:cs="Times New Roman"/>
          <w:b/>
          <w:bCs/>
          <w:sz w:val="24"/>
          <w:szCs w:val="24"/>
        </w:rPr>
      </w:pPr>
      <w:r w:rsidRPr="00C62468">
        <w:rPr>
          <w:rFonts w:ascii="Times New Roman" w:eastAsia="Times New Roman" w:hAnsi="Times New Roman" w:cs="Times New Roman"/>
          <w:sz w:val="24"/>
          <w:szCs w:val="24"/>
        </w:rPr>
        <w:t>Mokymosi visą gyvenimą memorandume (2001) teigiama, kad ekonominiai ir socialiniai pokyčiai modifikuoja ir modernizuoja pagrindinius įgūdžius, kuriuos kiekvienas privalo turėti kaip minimumą, kad galėtų dalyvauti darbinėje veikloje, šeimos ir visų lygių visuomenės gyvenime – nuo vietos iki Europos. Nauji svarbiausi įgūdžiai, įrašyti Lisabonos Europos Tarybos išvadose, yra: informacinės technologijos (IT), užsienio kalbos, technologinė kultūra, verslininkystė ir socialiniai gebėjimai.</w:t>
      </w:r>
    </w:p>
    <w:p w:rsidR="00C62468" w:rsidRPr="00C62468" w:rsidRDefault="00C62468" w:rsidP="00C62468">
      <w:pPr>
        <w:autoSpaceDE w:val="0"/>
        <w:autoSpaceDN w:val="0"/>
        <w:adjustRightInd w:val="0"/>
        <w:spacing w:after="0" w:line="36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 xml:space="preserve">Nacionalinėje informacinės visuomenės plėtros strategijoje “Lietuva – globalių galimybių šalis” informacinė (žinių, žinojimo) visuomenė – tai atvira, išsilavinusi, nuolat besimokanti ir savo veiklą grindžianti žinojimu visuomenė, kurioje visi jos nariai turi galimybę ir efektyviai naudoja šiuolaikines informacines technologijas ir nacionalinius bei globalinius skaitmeninius informacijos išteklius. </w:t>
      </w:r>
    </w:p>
    <w:p w:rsidR="00C62468" w:rsidRPr="00C62468" w:rsidRDefault="00C62468" w:rsidP="00C62468">
      <w:pPr>
        <w:autoSpaceDE w:val="0"/>
        <w:autoSpaceDN w:val="0"/>
        <w:adjustRightInd w:val="0"/>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Lietuvoje patvirtinta Nacionalinę informacinės visuomenės plėtros koncepciją,</w:t>
      </w:r>
      <w:r w:rsidRPr="00C62468">
        <w:rPr>
          <w:rFonts w:ascii="Times New Roman" w:eastAsia="Calibri" w:hAnsi="Times New Roman" w:cs="Times New Roman"/>
          <w:bCs/>
          <w:sz w:val="24"/>
          <w:szCs w:val="24"/>
        </w:rPr>
        <w:t xml:space="preserve"> parengta informacinių ir komunikacinių technologijų diegimo Lietuvos viešajame sektoriuje strategija, kurios pagrindinis tikslas: </w:t>
      </w:r>
      <w:r w:rsidRPr="00C62468">
        <w:rPr>
          <w:rFonts w:ascii="Times New Roman" w:eastAsia="Calibri" w:hAnsi="Times New Roman" w:cs="Times New Roman"/>
          <w:sz w:val="24"/>
          <w:szCs w:val="24"/>
        </w:rPr>
        <w:t>numatyti informacijos ir komunikacijos technologijų integravimą.. Šių strateginių tikslų įgyvendinimas atveria vieną iš galimybių kokybiškam daugiafunkcių centrų koncepcijos įgyvendinimui.</w:t>
      </w:r>
    </w:p>
    <w:p w:rsidR="00C62468" w:rsidRPr="00C62468" w:rsidRDefault="00C62468" w:rsidP="00C62468">
      <w:pPr>
        <w:autoSpaceDE w:val="0"/>
        <w:autoSpaceDN w:val="0"/>
        <w:adjustRightInd w:val="0"/>
        <w:spacing w:after="0" w:line="360" w:lineRule="auto"/>
        <w:jc w:val="both"/>
        <w:rPr>
          <w:rFonts w:ascii="Calibri" w:eastAsia="Times New Roman" w:hAnsi="Calibri" w:cs="Times New Roman"/>
          <w:szCs w:val="24"/>
        </w:rPr>
      </w:pPr>
    </w:p>
    <w:p w:rsidR="00C62468" w:rsidRPr="00C62468" w:rsidRDefault="00C62468" w:rsidP="00C62468">
      <w:pPr>
        <w:numPr>
          <w:ilvl w:val="0"/>
          <w:numId w:val="1"/>
        </w:numPr>
        <w:spacing w:after="0" w:line="360" w:lineRule="auto"/>
        <w:contextualSpacing/>
        <w:jc w:val="center"/>
        <w:rPr>
          <w:rFonts w:ascii="Times New Roman" w:eastAsia="Calibri" w:hAnsi="Times New Roman" w:cs="Times New Roman"/>
          <w:b/>
          <w:iCs/>
          <w:sz w:val="28"/>
          <w:szCs w:val="28"/>
        </w:rPr>
      </w:pPr>
      <w:r w:rsidRPr="00C62468">
        <w:rPr>
          <w:rFonts w:ascii="Times New Roman" w:eastAsia="Calibri" w:hAnsi="Times New Roman" w:cs="Times New Roman"/>
          <w:b/>
          <w:iCs/>
          <w:sz w:val="28"/>
          <w:szCs w:val="28"/>
        </w:rPr>
        <w:t>SSGG ANALIZĖ</w:t>
      </w:r>
    </w:p>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SSGG analizė – modelis, nurodantis  strateginių planų vystymo kryptį ir suteikiantis jiems pagrindą. Analizė atspindi:</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1.</w:t>
      </w:r>
      <w:r w:rsidRPr="00C62468">
        <w:rPr>
          <w:rFonts w:ascii="Times New Roman" w:eastAsia="Calibri" w:hAnsi="Times New Roman" w:cs="Times New Roman"/>
          <w:b/>
          <w:bCs/>
          <w:i/>
          <w:iCs/>
          <w:sz w:val="24"/>
          <w:szCs w:val="24"/>
        </w:rPr>
        <w:t xml:space="preserve"> stiprybes </w:t>
      </w:r>
      <w:r w:rsidRPr="00C62468">
        <w:rPr>
          <w:rFonts w:ascii="Times New Roman" w:eastAsia="Calibri" w:hAnsi="Times New Roman" w:cs="Times New Roman"/>
          <w:sz w:val="24"/>
          <w:szCs w:val="24"/>
        </w:rPr>
        <w:t>(ką organizacija yra pajėgi atlikti);</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2. </w:t>
      </w:r>
      <w:r w:rsidRPr="00C62468">
        <w:rPr>
          <w:rFonts w:ascii="Times New Roman" w:eastAsia="Calibri" w:hAnsi="Times New Roman" w:cs="Times New Roman"/>
          <w:b/>
          <w:bCs/>
          <w:i/>
          <w:iCs/>
          <w:sz w:val="24"/>
          <w:szCs w:val="24"/>
        </w:rPr>
        <w:t xml:space="preserve">silpnybes </w:t>
      </w:r>
      <w:r w:rsidRPr="00C62468">
        <w:rPr>
          <w:rFonts w:ascii="Times New Roman" w:eastAsia="Calibri" w:hAnsi="Times New Roman" w:cs="Times New Roman"/>
          <w:sz w:val="24"/>
          <w:szCs w:val="24"/>
        </w:rPr>
        <w:t>(kas organizacijai trukdo);</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3. </w:t>
      </w:r>
      <w:r w:rsidRPr="00C62468">
        <w:rPr>
          <w:rFonts w:ascii="Times New Roman" w:eastAsia="Calibri" w:hAnsi="Times New Roman" w:cs="Times New Roman"/>
          <w:b/>
          <w:bCs/>
          <w:i/>
          <w:iCs/>
          <w:sz w:val="24"/>
          <w:szCs w:val="24"/>
        </w:rPr>
        <w:t>galimybes</w:t>
      </w:r>
      <w:r w:rsidRPr="00C62468">
        <w:rPr>
          <w:rFonts w:ascii="Times New Roman" w:eastAsia="Calibri" w:hAnsi="Times New Roman" w:cs="Times New Roman"/>
          <w:sz w:val="24"/>
          <w:szCs w:val="24"/>
        </w:rPr>
        <w:t xml:space="preserve"> (potencialiai naudingos sąlygos);</w:t>
      </w:r>
    </w:p>
    <w:p w:rsidR="00C62468" w:rsidRPr="00C62468" w:rsidRDefault="00C62468" w:rsidP="00C62468">
      <w:pPr>
        <w:spacing w:after="12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 xml:space="preserve">4. </w:t>
      </w:r>
      <w:r w:rsidRPr="00C62468">
        <w:rPr>
          <w:rFonts w:ascii="Times New Roman" w:eastAsia="Calibri" w:hAnsi="Times New Roman" w:cs="Times New Roman"/>
          <w:b/>
          <w:bCs/>
          <w:i/>
          <w:iCs/>
          <w:sz w:val="24"/>
          <w:szCs w:val="24"/>
        </w:rPr>
        <w:t xml:space="preserve">grėsmes </w:t>
      </w:r>
      <w:r w:rsidRPr="00C62468">
        <w:rPr>
          <w:rFonts w:ascii="Times New Roman" w:eastAsia="Calibri" w:hAnsi="Times New Roman" w:cs="Times New Roman"/>
          <w:sz w:val="24"/>
          <w:szCs w:val="24"/>
        </w:rPr>
        <w:t>(potencialiai nenaudingos sąlygos).</w:t>
      </w:r>
    </w:p>
    <w:p w:rsidR="00C62468" w:rsidRPr="00C62468" w:rsidRDefault="00C62468" w:rsidP="00C62468">
      <w:pPr>
        <w:spacing w:after="0" w:line="360" w:lineRule="auto"/>
        <w:jc w:val="both"/>
        <w:rPr>
          <w:rFonts w:ascii="Times New Roman" w:eastAsia="Calibri" w:hAnsi="Times New Roman" w:cs="Times New Roman"/>
          <w:sz w:val="24"/>
          <w:szCs w:val="24"/>
        </w:rPr>
      </w:pPr>
      <w:r w:rsidRPr="00C62468">
        <w:rPr>
          <w:rFonts w:ascii="Times New Roman" w:eastAsia="Calibri" w:hAnsi="Times New Roman" w:cs="Times New Roman"/>
          <w:sz w:val="24"/>
          <w:szCs w:val="24"/>
        </w:rPr>
        <w:t>Analizėje pateikiami su vidine ir išorine Centro aplinka susiję faktoriai, kurie turi įtakos  veiklai, nustato 2021-2023 metų strateginio plano kryptį.</w:t>
      </w: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spacing w:after="0" w:line="360" w:lineRule="auto"/>
        <w:jc w:val="both"/>
        <w:rPr>
          <w:rFonts w:ascii="Times New Roman" w:eastAsia="Calibri" w:hAnsi="Times New Roman" w:cs="Times New Roman"/>
          <w:sz w:val="24"/>
          <w:szCs w:val="24"/>
        </w:rPr>
      </w:pPr>
    </w:p>
    <w:p w:rsidR="00C62468" w:rsidRPr="00C62468" w:rsidRDefault="00C62468" w:rsidP="00C62468">
      <w:pPr>
        <w:numPr>
          <w:ilvl w:val="0"/>
          <w:numId w:val="7"/>
        </w:numPr>
        <w:spacing w:after="120" w:line="360" w:lineRule="auto"/>
        <w:contextualSpacing/>
        <w:jc w:val="right"/>
        <w:rPr>
          <w:rFonts w:ascii="Times New Roman" w:eastAsia="Calibri" w:hAnsi="Times New Roman" w:cs="Times New Roman"/>
          <w:sz w:val="24"/>
          <w:szCs w:val="24"/>
        </w:rPr>
      </w:pPr>
      <w:r w:rsidRPr="00C62468">
        <w:rPr>
          <w:rFonts w:ascii="Times New Roman" w:eastAsia="Calibri" w:hAnsi="Times New Roman" w:cs="Times New Roman"/>
          <w:sz w:val="24"/>
          <w:szCs w:val="24"/>
        </w:rPr>
        <w:t>lentelė</w:t>
      </w:r>
    </w:p>
    <w:p w:rsidR="00C62468" w:rsidRPr="00C62468" w:rsidRDefault="00C62468" w:rsidP="00C62468">
      <w:pPr>
        <w:spacing w:after="120" w:line="240" w:lineRule="auto"/>
        <w:jc w:val="center"/>
        <w:rPr>
          <w:rFonts w:ascii="Times New Roman" w:eastAsia="Calibri" w:hAnsi="Times New Roman" w:cs="Times New Roman"/>
          <w:b/>
          <w:bCs/>
          <w:sz w:val="24"/>
          <w:szCs w:val="24"/>
        </w:rPr>
      </w:pPr>
      <w:r w:rsidRPr="00C62468">
        <w:rPr>
          <w:rFonts w:ascii="Times New Roman" w:eastAsia="Calibri" w:hAnsi="Times New Roman" w:cs="Times New Roman"/>
          <w:b/>
          <w:bCs/>
          <w:sz w:val="24"/>
          <w:szCs w:val="24"/>
        </w:rPr>
        <w:t>SSGG matrica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5021"/>
      </w:tblGrid>
      <w:tr w:rsidR="00C62468" w:rsidRPr="00C62468" w:rsidTr="00BD7062">
        <w:tc>
          <w:tcPr>
            <w:tcW w:w="4747" w:type="dxa"/>
            <w:tcBorders>
              <w:top w:val="double" w:sz="4" w:space="0" w:color="auto"/>
              <w:bottom w:val="double" w:sz="4" w:space="0" w:color="auto"/>
            </w:tcBorders>
            <w:shd w:val="clear" w:color="auto" w:fill="auto"/>
          </w:tcPr>
          <w:p w:rsidR="00C62468" w:rsidRPr="00C62468" w:rsidRDefault="00C62468" w:rsidP="00C62468">
            <w:pPr>
              <w:spacing w:after="0" w:line="36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lastRenderedPageBreak/>
              <w:t>Stiprybės</w:t>
            </w:r>
          </w:p>
        </w:tc>
        <w:tc>
          <w:tcPr>
            <w:tcW w:w="5166" w:type="dxa"/>
            <w:tcBorders>
              <w:top w:val="double" w:sz="4" w:space="0" w:color="auto"/>
              <w:bottom w:val="double" w:sz="4" w:space="0" w:color="auto"/>
            </w:tcBorders>
            <w:shd w:val="clear" w:color="auto" w:fill="auto"/>
          </w:tcPr>
          <w:p w:rsidR="00C62468" w:rsidRPr="00C62468" w:rsidRDefault="00C62468" w:rsidP="00C62468">
            <w:pPr>
              <w:spacing w:after="0" w:line="36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Silpnybės</w:t>
            </w:r>
          </w:p>
        </w:tc>
      </w:tr>
      <w:tr w:rsidR="00C62468" w:rsidRPr="00C62468" w:rsidTr="00BD7062">
        <w:trPr>
          <w:trHeight w:val="2385"/>
        </w:trPr>
        <w:tc>
          <w:tcPr>
            <w:tcW w:w="4747" w:type="dxa"/>
            <w:tcBorders>
              <w:top w:val="double" w:sz="4" w:space="0" w:color="auto"/>
              <w:bottom w:val="double" w:sz="4" w:space="0" w:color="auto"/>
            </w:tcBorders>
            <w:shd w:val="clear" w:color="auto" w:fill="E2EFD9"/>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1. Kvalifikuoti specialistai;</w:t>
            </w:r>
          </w:p>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2. Geros būklės infrastruktūra;</w:t>
            </w:r>
          </w:p>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3. Paslaugų vartotojų skaičiaus stabilumas;</w:t>
            </w:r>
          </w:p>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4. Platus tarpinstitucinių partnerių tinklas;</w:t>
            </w:r>
          </w:p>
          <w:p w:rsidR="00C62468" w:rsidRPr="00C62468" w:rsidRDefault="00C62468" w:rsidP="00C62468">
            <w:pPr>
              <w:spacing w:after="0" w:line="240" w:lineRule="auto"/>
              <w:jc w:val="both"/>
              <w:rPr>
                <w:rFonts w:ascii="Times New Roman" w:eastAsia="Calibri" w:hAnsi="Times New Roman" w:cs="Times New Roman"/>
                <w:sz w:val="24"/>
                <w:szCs w:val="24"/>
              </w:rPr>
            </w:pPr>
            <w:r w:rsidRPr="00C62468">
              <w:rPr>
                <w:rFonts w:ascii="Times New Roman" w:eastAsia="Calibri" w:hAnsi="Times New Roman" w:cs="Times New Roman"/>
              </w:rPr>
              <w:t>5. Stabilus pagrindinių veiklų finansavimas.</w:t>
            </w:r>
          </w:p>
        </w:tc>
        <w:tc>
          <w:tcPr>
            <w:tcW w:w="5166" w:type="dxa"/>
            <w:tcBorders>
              <w:top w:val="double" w:sz="4" w:space="0" w:color="auto"/>
              <w:bottom w:val="double" w:sz="4" w:space="0" w:color="auto"/>
            </w:tcBorders>
            <w:shd w:val="clear" w:color="auto" w:fill="FFF2CC"/>
          </w:tcPr>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1. Kai kurių darbuotojų darbo patirties stoka;</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2.Darbo su IT kompetencijų stoka;</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3. Vangus ES fondų lėšų įsisavinimas;</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4. Vangus lėšų iš privačių šaltinių įsisavinimas;</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5. Nepakankamai formalizuotas tarpinstitucinis bendradarbiavimas;</w:t>
            </w:r>
          </w:p>
          <w:p w:rsidR="00C62468" w:rsidRPr="00C62468" w:rsidRDefault="00C62468" w:rsidP="00C62468">
            <w:pPr>
              <w:spacing w:after="0" w:line="240" w:lineRule="auto"/>
              <w:jc w:val="both"/>
              <w:rPr>
                <w:rFonts w:ascii="Times New Roman" w:eastAsia="Calibri" w:hAnsi="Times New Roman" w:cs="Times New Roman"/>
                <w:bCs/>
                <w:iCs/>
                <w:sz w:val="24"/>
                <w:szCs w:val="24"/>
              </w:rPr>
            </w:pPr>
            <w:r w:rsidRPr="00C62468">
              <w:rPr>
                <w:rFonts w:ascii="Times New Roman" w:eastAsia="Calibri" w:hAnsi="Times New Roman" w:cs="Times New Roman"/>
                <w:bCs/>
                <w:iCs/>
              </w:rPr>
              <w:t>6. Vangi teikiamų paslaugų plėtra</w:t>
            </w:r>
            <w:r w:rsidRPr="00C62468">
              <w:rPr>
                <w:rFonts w:ascii="Times New Roman" w:eastAsia="Calibri" w:hAnsi="Times New Roman" w:cs="Times New Roman"/>
                <w:bCs/>
                <w:iCs/>
                <w:sz w:val="24"/>
                <w:szCs w:val="24"/>
              </w:rPr>
              <w:t>.</w:t>
            </w:r>
          </w:p>
        </w:tc>
      </w:tr>
      <w:tr w:rsidR="00C62468" w:rsidRPr="00C62468" w:rsidTr="00BD7062">
        <w:tc>
          <w:tcPr>
            <w:tcW w:w="4747" w:type="dxa"/>
            <w:tcBorders>
              <w:top w:val="double" w:sz="4" w:space="0" w:color="auto"/>
              <w:bottom w:val="double" w:sz="4" w:space="0" w:color="auto"/>
            </w:tcBorders>
            <w:shd w:val="clear" w:color="auto" w:fill="auto"/>
          </w:tcPr>
          <w:p w:rsidR="00C62468" w:rsidRPr="00C62468" w:rsidRDefault="00C62468" w:rsidP="00C62468">
            <w:pPr>
              <w:spacing w:after="0" w:line="36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Galimybės</w:t>
            </w:r>
          </w:p>
        </w:tc>
        <w:tc>
          <w:tcPr>
            <w:tcW w:w="5166" w:type="dxa"/>
            <w:tcBorders>
              <w:top w:val="double" w:sz="4" w:space="0" w:color="auto"/>
              <w:bottom w:val="double" w:sz="4" w:space="0" w:color="auto"/>
            </w:tcBorders>
            <w:shd w:val="clear" w:color="auto" w:fill="auto"/>
          </w:tcPr>
          <w:p w:rsidR="00C62468" w:rsidRPr="00C62468" w:rsidRDefault="00C62468" w:rsidP="00C62468">
            <w:pPr>
              <w:spacing w:after="0" w:line="360" w:lineRule="auto"/>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Grėsmės</w:t>
            </w:r>
          </w:p>
        </w:tc>
      </w:tr>
      <w:tr w:rsidR="00C62468" w:rsidRPr="00C62468" w:rsidTr="00BD7062">
        <w:tc>
          <w:tcPr>
            <w:tcW w:w="4747" w:type="dxa"/>
            <w:tcBorders>
              <w:top w:val="double" w:sz="4" w:space="0" w:color="auto"/>
            </w:tcBorders>
            <w:shd w:val="clear" w:color="auto" w:fill="E2EFD9"/>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1.Teikiamų paslaugų spektro plėtra;</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rPr>
              <w:t>2. Tarpinstitucinių partnerių žmogiškųjų išteklių bei infrastruktūros panaudojimas</w:t>
            </w:r>
            <w:r w:rsidRPr="00C62468">
              <w:rPr>
                <w:rFonts w:ascii="Times New Roman" w:eastAsia="Calibri" w:hAnsi="Times New Roman" w:cs="Times New Roman"/>
                <w:bCs/>
                <w:iCs/>
              </w:rPr>
              <w:t>;</w:t>
            </w:r>
          </w:p>
          <w:p w:rsidR="00C62468" w:rsidRPr="00C62468" w:rsidRDefault="00C62468" w:rsidP="00C62468">
            <w:pPr>
              <w:spacing w:after="0" w:line="240" w:lineRule="auto"/>
              <w:jc w:val="both"/>
              <w:rPr>
                <w:rFonts w:ascii="Times New Roman" w:eastAsia="Calibri" w:hAnsi="Times New Roman" w:cs="Times New Roman"/>
                <w:bCs/>
                <w:iCs/>
              </w:rPr>
            </w:pPr>
            <w:r w:rsidRPr="00C62468">
              <w:rPr>
                <w:rFonts w:ascii="Times New Roman" w:eastAsia="Calibri" w:hAnsi="Times New Roman" w:cs="Times New Roman"/>
                <w:bCs/>
                <w:iCs/>
              </w:rPr>
              <w:t>3. Finansinių lėšų iš ES ir kitų šaltinių panaudojimo aktyvinimas.</w:t>
            </w:r>
          </w:p>
          <w:p w:rsidR="00C62468" w:rsidRPr="00C62468" w:rsidRDefault="00C62468" w:rsidP="00C62468">
            <w:pPr>
              <w:spacing w:after="0" w:line="240" w:lineRule="auto"/>
              <w:jc w:val="both"/>
              <w:rPr>
                <w:rFonts w:ascii="Times New Roman" w:eastAsia="Calibri" w:hAnsi="Times New Roman" w:cs="Times New Roman"/>
                <w:sz w:val="24"/>
                <w:szCs w:val="24"/>
              </w:rPr>
            </w:pPr>
            <w:r w:rsidRPr="00C62468">
              <w:rPr>
                <w:rFonts w:ascii="Times New Roman" w:eastAsia="Calibri" w:hAnsi="Times New Roman" w:cs="Times New Roman"/>
              </w:rPr>
              <w:t>4. Nuolatinis paslaugų kokybės monitoringas ir tobulinimas.</w:t>
            </w:r>
          </w:p>
        </w:tc>
        <w:tc>
          <w:tcPr>
            <w:tcW w:w="5166" w:type="dxa"/>
            <w:tcBorders>
              <w:top w:val="double" w:sz="4" w:space="0" w:color="auto"/>
            </w:tcBorders>
            <w:shd w:val="clear" w:color="auto" w:fill="FBE4D5"/>
          </w:tcPr>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1. Gyventojų mažėjimas;</w:t>
            </w:r>
          </w:p>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2.Finansavimo politikos pokyčiai;</w:t>
            </w:r>
          </w:p>
          <w:p w:rsidR="00C62468" w:rsidRPr="00C62468" w:rsidRDefault="00C62468" w:rsidP="00C62468">
            <w:pPr>
              <w:spacing w:after="0" w:line="240" w:lineRule="auto"/>
              <w:jc w:val="both"/>
              <w:rPr>
                <w:rFonts w:ascii="Times New Roman" w:eastAsia="Calibri" w:hAnsi="Times New Roman" w:cs="Times New Roman"/>
              </w:rPr>
            </w:pPr>
            <w:r w:rsidRPr="00C62468">
              <w:rPr>
                <w:rFonts w:ascii="Times New Roman" w:eastAsia="Calibri" w:hAnsi="Times New Roman" w:cs="Times New Roman"/>
              </w:rPr>
              <w:t xml:space="preserve">3. Nuolatinis gyventojų mažėjimas; </w:t>
            </w:r>
          </w:p>
          <w:p w:rsidR="00C62468" w:rsidRPr="00C62468" w:rsidRDefault="00C62468" w:rsidP="00C62468">
            <w:pPr>
              <w:spacing w:after="0" w:line="240" w:lineRule="auto"/>
              <w:jc w:val="both"/>
              <w:rPr>
                <w:rFonts w:ascii="Times New Roman" w:eastAsia="Calibri" w:hAnsi="Times New Roman" w:cs="Times New Roman"/>
                <w:sz w:val="24"/>
                <w:szCs w:val="24"/>
              </w:rPr>
            </w:pPr>
            <w:r w:rsidRPr="00C62468">
              <w:rPr>
                <w:rFonts w:ascii="Times New Roman" w:eastAsia="Calibri" w:hAnsi="Times New Roman" w:cs="Times New Roman"/>
              </w:rPr>
              <w:t>4. Ekstremalios situacijos šalyje.</w:t>
            </w:r>
          </w:p>
        </w:tc>
      </w:tr>
    </w:tbl>
    <w:p w:rsidR="00C62468" w:rsidRPr="00C62468" w:rsidRDefault="00C62468" w:rsidP="00C62468">
      <w:pPr>
        <w:spacing w:after="0" w:line="360" w:lineRule="auto"/>
        <w:jc w:val="both"/>
        <w:rPr>
          <w:rFonts w:ascii="Times New Roman" w:eastAsia="Calibri" w:hAnsi="Times New Roman" w:cs="Times New Roman"/>
          <w:b/>
          <w:bCs/>
          <w:sz w:val="24"/>
          <w:szCs w:val="24"/>
        </w:rPr>
      </w:pPr>
    </w:p>
    <w:p w:rsidR="00C62468" w:rsidRPr="00C62468" w:rsidRDefault="00C62468" w:rsidP="00C62468">
      <w:pPr>
        <w:spacing w:after="0" w:line="360" w:lineRule="auto"/>
        <w:jc w:val="center"/>
        <w:rPr>
          <w:rFonts w:ascii="Times New Roman" w:eastAsia="Calibri" w:hAnsi="Times New Roman" w:cs="Times New Roman"/>
          <w:b/>
          <w:bCs/>
        </w:rPr>
      </w:pPr>
    </w:p>
    <w:p w:rsidR="00C62468" w:rsidRPr="00C62468" w:rsidRDefault="00C62468" w:rsidP="00C62468">
      <w:pPr>
        <w:spacing w:after="0" w:line="360" w:lineRule="auto"/>
        <w:jc w:val="center"/>
        <w:rPr>
          <w:rFonts w:ascii="Times New Roman" w:eastAsia="Calibri" w:hAnsi="Times New Roman" w:cs="Times New Roman"/>
          <w:b/>
          <w:bCs/>
        </w:rPr>
      </w:pPr>
    </w:p>
    <w:p w:rsidR="00C62468" w:rsidRPr="00C62468" w:rsidRDefault="00C62468" w:rsidP="00C62468">
      <w:pPr>
        <w:spacing w:after="0" w:line="240" w:lineRule="auto"/>
        <w:jc w:val="center"/>
        <w:rPr>
          <w:rFonts w:ascii="Times New Roman" w:eastAsia="Calibri" w:hAnsi="Times New Roman" w:cs="Times New Roman"/>
          <w:b/>
          <w:bCs/>
          <w:sz w:val="28"/>
          <w:szCs w:val="28"/>
        </w:rPr>
      </w:pPr>
      <w:r w:rsidRPr="00C62468">
        <w:rPr>
          <w:rFonts w:ascii="Times New Roman" w:eastAsia="Calibri" w:hAnsi="Times New Roman" w:cs="Times New Roman"/>
          <w:b/>
          <w:bCs/>
          <w:sz w:val="28"/>
          <w:szCs w:val="28"/>
        </w:rPr>
        <w:t>5. 202</w:t>
      </w:r>
      <w:r w:rsidRPr="00C62468">
        <w:rPr>
          <w:rFonts w:ascii="Times New Roman" w:eastAsia="Calibri" w:hAnsi="Times New Roman" w:cs="Times New Roman"/>
          <w:b/>
          <w:bCs/>
          <w:sz w:val="28"/>
          <w:szCs w:val="28"/>
          <w:lang w:val="en-US"/>
        </w:rPr>
        <w:t>1</w:t>
      </w:r>
      <w:r w:rsidRPr="00C62468">
        <w:rPr>
          <w:rFonts w:ascii="Times New Roman" w:eastAsia="Calibri" w:hAnsi="Times New Roman" w:cs="Times New Roman"/>
          <w:b/>
          <w:bCs/>
          <w:sz w:val="28"/>
          <w:szCs w:val="28"/>
        </w:rPr>
        <w:t>-2023 M. STRATEGINIS PLANAS</w:t>
      </w:r>
    </w:p>
    <w:p w:rsidR="00C62468" w:rsidRPr="00C62468" w:rsidRDefault="00C62468" w:rsidP="00C62468">
      <w:pPr>
        <w:spacing w:after="0" w:line="240" w:lineRule="auto"/>
        <w:jc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628"/>
      </w:tblGrid>
      <w:tr w:rsidR="00C62468" w:rsidRPr="00C62468" w:rsidTr="00C62468">
        <w:tc>
          <w:tcPr>
            <w:tcW w:w="9628" w:type="dxa"/>
            <w:shd w:val="clear" w:color="auto" w:fill="DEEAF6"/>
          </w:tcPr>
          <w:p w:rsidR="00C62468" w:rsidRPr="00C62468" w:rsidRDefault="00C62468" w:rsidP="00C62468">
            <w:pPr>
              <w:tabs>
                <w:tab w:val="center" w:pos="4819"/>
              </w:tabs>
              <w:spacing w:line="360" w:lineRule="auto"/>
              <w:ind w:firstLine="0"/>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VIZIJA</w:t>
            </w:r>
          </w:p>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Kirdonių universalus daugiafunkcis centras-atvira kaitai, šiuolaikiška, patraukli kiekvienam kaimo gyventojui įstaiga, tenkinanti jo švietimo, kultūros, sporto, laisvalaikio ir socialinius poreikius, sudaranti galimybes mokymuisi visą gyvenimą.</w:t>
            </w:r>
          </w:p>
          <w:p w:rsidR="00C62468" w:rsidRPr="00C62468" w:rsidRDefault="00C62468" w:rsidP="00C62468">
            <w:pPr>
              <w:spacing w:line="360" w:lineRule="auto"/>
              <w:ind w:firstLine="0"/>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MISIJA</w:t>
            </w:r>
          </w:p>
          <w:p w:rsidR="00C62468" w:rsidRPr="00C62468" w:rsidRDefault="00C62468" w:rsidP="00C62468">
            <w:pPr>
              <w:spacing w:line="360" w:lineRule="auto"/>
              <w:ind w:firstLine="0"/>
              <w:rPr>
                <w:rFonts w:ascii="Times New Roman" w:eastAsia="Calibri" w:hAnsi="Times New Roman" w:cs="Times New Roman"/>
                <w:sz w:val="24"/>
                <w:szCs w:val="24"/>
              </w:rPr>
            </w:pPr>
            <w:r w:rsidRPr="00C62468">
              <w:rPr>
                <w:rFonts w:ascii="Times New Roman" w:eastAsia="Calibri"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rsidR="00C62468" w:rsidRPr="00C62468" w:rsidRDefault="00C62468" w:rsidP="00C62468">
            <w:pPr>
              <w:spacing w:line="360" w:lineRule="auto"/>
              <w:ind w:firstLine="0"/>
              <w:jc w:val="center"/>
              <w:rPr>
                <w:rFonts w:ascii="Times New Roman" w:eastAsia="Calibri" w:hAnsi="Times New Roman" w:cs="Times New Roman"/>
                <w:b/>
                <w:sz w:val="24"/>
                <w:szCs w:val="24"/>
              </w:rPr>
            </w:pPr>
            <w:r w:rsidRPr="00C62468">
              <w:rPr>
                <w:rFonts w:ascii="Times New Roman" w:eastAsia="Calibri" w:hAnsi="Times New Roman" w:cs="Times New Roman"/>
                <w:b/>
                <w:sz w:val="24"/>
                <w:szCs w:val="24"/>
              </w:rPr>
              <w:t>VERTYBĖS</w:t>
            </w:r>
          </w:p>
          <w:p w:rsidR="00C62468" w:rsidRPr="00C62468" w:rsidRDefault="00C62468" w:rsidP="00C62468">
            <w:pPr>
              <w:spacing w:line="360" w:lineRule="auto"/>
              <w:ind w:firstLine="0"/>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Pagarba ir dėmesys kiekvienam Centro lankytojui.</w:t>
            </w:r>
          </w:p>
          <w:p w:rsidR="00C62468" w:rsidRPr="00C62468" w:rsidRDefault="00C62468" w:rsidP="00C62468">
            <w:pPr>
              <w:spacing w:line="360" w:lineRule="auto"/>
              <w:ind w:firstLine="0"/>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Tolerancija kito nuomonei.</w:t>
            </w:r>
          </w:p>
          <w:p w:rsidR="00C62468" w:rsidRPr="00C62468" w:rsidRDefault="00C62468" w:rsidP="00C62468">
            <w:pPr>
              <w:spacing w:line="360" w:lineRule="auto"/>
              <w:ind w:firstLine="0"/>
              <w:jc w:val="center"/>
              <w:rPr>
                <w:rFonts w:ascii="Times New Roman" w:eastAsia="Calibri" w:hAnsi="Times New Roman" w:cs="Times New Roman"/>
                <w:sz w:val="24"/>
                <w:szCs w:val="24"/>
              </w:rPr>
            </w:pPr>
            <w:r w:rsidRPr="00C62468">
              <w:rPr>
                <w:rFonts w:ascii="Times New Roman" w:eastAsia="Calibri" w:hAnsi="Times New Roman" w:cs="Times New Roman"/>
                <w:sz w:val="24"/>
                <w:szCs w:val="24"/>
              </w:rPr>
              <w:t>Nuolatinis tobulėjimas.</w:t>
            </w:r>
          </w:p>
          <w:p w:rsidR="00C62468" w:rsidRPr="00C62468" w:rsidRDefault="00C62468" w:rsidP="00C62468">
            <w:pPr>
              <w:ind w:firstLine="0"/>
              <w:rPr>
                <w:rFonts w:ascii="Times New Roman" w:eastAsia="Times New Roman" w:hAnsi="Times New Roman" w:cs="Times New Roman"/>
                <w:sz w:val="24"/>
                <w:szCs w:val="24"/>
              </w:rPr>
            </w:pPr>
          </w:p>
        </w:tc>
      </w:tr>
    </w:tbl>
    <w:p w:rsidR="00C62468" w:rsidRPr="00C62468" w:rsidRDefault="00C62468" w:rsidP="00C62468">
      <w:pPr>
        <w:spacing w:after="0" w:line="240" w:lineRule="auto"/>
        <w:jc w:val="both"/>
        <w:rPr>
          <w:rFonts w:ascii="Times New Roman" w:eastAsia="Times New Roman" w:hAnsi="Times New Roman" w:cs="Times New Roman"/>
          <w:sz w:val="24"/>
          <w:szCs w:val="24"/>
        </w:rPr>
      </w:pPr>
    </w:p>
    <w:p w:rsidR="00C62468" w:rsidRPr="00C62468" w:rsidRDefault="00C62468" w:rsidP="00C62468">
      <w:pPr>
        <w:spacing w:after="0" w:line="240" w:lineRule="auto"/>
        <w:jc w:val="both"/>
        <w:rPr>
          <w:rFonts w:ascii="Times New Roman" w:eastAsia="Times New Roman" w:hAnsi="Times New Roman" w:cs="Times New Roman"/>
          <w:sz w:val="24"/>
          <w:szCs w:val="24"/>
        </w:rPr>
      </w:pPr>
    </w:p>
    <w:p w:rsidR="00C62468" w:rsidRPr="00C62468" w:rsidRDefault="00C62468" w:rsidP="00C62468">
      <w:pPr>
        <w:spacing w:after="0" w:line="240" w:lineRule="auto"/>
        <w:jc w:val="both"/>
        <w:rPr>
          <w:rFonts w:ascii="Times New Roman" w:eastAsia="Times New Roman" w:hAnsi="Times New Roman" w:cs="Times New Roman"/>
          <w:sz w:val="24"/>
          <w:szCs w:val="24"/>
        </w:rPr>
      </w:pPr>
    </w:p>
    <w:p w:rsidR="00C62468" w:rsidRPr="00C62468" w:rsidRDefault="00C62468" w:rsidP="00C62468">
      <w:pPr>
        <w:spacing w:after="0" w:line="240" w:lineRule="auto"/>
        <w:jc w:val="both"/>
        <w:rPr>
          <w:rFonts w:ascii="Times New Roman" w:eastAsia="Times New Roman" w:hAnsi="Times New Roman" w:cs="Times New Roman"/>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2835"/>
        <w:gridCol w:w="992"/>
        <w:gridCol w:w="992"/>
      </w:tblGrid>
      <w:tr w:rsidR="00C62468" w:rsidRPr="00C62468" w:rsidTr="00BD7062">
        <w:trPr>
          <w:cantSplit/>
          <w:trHeight w:val="494"/>
        </w:trPr>
        <w:tc>
          <w:tcPr>
            <w:tcW w:w="10490" w:type="dxa"/>
            <w:gridSpan w:val="5"/>
            <w:tcBorders>
              <w:top w:val="single" w:sz="4" w:space="0" w:color="auto"/>
              <w:left w:val="single" w:sz="4" w:space="0" w:color="auto"/>
              <w:bottom w:val="single" w:sz="4" w:space="0" w:color="auto"/>
              <w:right w:val="single" w:sz="4" w:space="0" w:color="auto"/>
            </w:tcBorders>
            <w:shd w:val="clear" w:color="auto" w:fill="70AD47"/>
          </w:tcPr>
          <w:p w:rsidR="00C62468" w:rsidRPr="00C62468" w:rsidRDefault="00C62468" w:rsidP="00C62468">
            <w:pPr>
              <w:keepNext/>
              <w:spacing w:after="0" w:line="240" w:lineRule="auto"/>
              <w:jc w:val="center"/>
              <w:outlineLvl w:val="7"/>
              <w:rPr>
                <w:rFonts w:ascii="Times New Roman" w:eastAsia="Times New Roman" w:hAnsi="Times New Roman" w:cs="Times New Roman"/>
                <w:b/>
                <w:bCs/>
                <w:color w:val="FFFFFF"/>
                <w:sz w:val="20"/>
                <w:szCs w:val="20"/>
              </w:rPr>
            </w:pPr>
            <w:r w:rsidRPr="00C62468">
              <w:rPr>
                <w:rFonts w:ascii="Times New Roman" w:eastAsia="Calibri" w:hAnsi="Times New Roman" w:cs="Times New Roman"/>
                <w:b/>
                <w:bCs/>
                <w:color w:val="FFFFFF"/>
                <w:sz w:val="24"/>
                <w:szCs w:val="24"/>
              </w:rPr>
              <w:lastRenderedPageBreak/>
              <w:t>I PRIORITETAS. VIEŠŲJŲ PASLAUGŲ PRIEINAMUMAS</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C5E0B3"/>
            <w:hideMark/>
          </w:tcPr>
          <w:p w:rsidR="00C62468" w:rsidRPr="00C62468" w:rsidRDefault="00C62468" w:rsidP="00C62468">
            <w:pPr>
              <w:spacing w:after="0" w:line="240" w:lineRule="auto"/>
              <w:jc w:val="both"/>
              <w:rPr>
                <w:rFonts w:ascii="Times New Roman" w:eastAsia="Times New Roman" w:hAnsi="Times New Roman" w:cs="Times New Roman"/>
                <w:b/>
                <w:bCs/>
              </w:rPr>
            </w:pPr>
            <w:r w:rsidRPr="00C62468">
              <w:rPr>
                <w:rFonts w:ascii="Times New Roman" w:eastAsia="Times New Roman" w:hAnsi="Times New Roman" w:cs="Times New Roman"/>
                <w:b/>
                <w:bCs/>
              </w:rPr>
              <w:t>1.1. Tikslas. Maksimaliai tenkinti vietos bendruomenės viešųjų paslaugų poreikius</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1.1.1. Uždavinys. Tampriai bendradarbiauti su bendruomene ir partneriais</w:t>
            </w:r>
          </w:p>
        </w:tc>
      </w:tr>
      <w:tr w:rsidR="00C62468" w:rsidRPr="00C62468" w:rsidTr="00BD7062">
        <w:trPr>
          <w:cantSplit/>
        </w:trPr>
        <w:tc>
          <w:tcPr>
            <w:tcW w:w="4112" w:type="dxa"/>
            <w:tcBorders>
              <w:top w:val="single" w:sz="4" w:space="0" w:color="auto"/>
              <w:left w:val="single" w:sz="4" w:space="0" w:color="auto"/>
              <w:bottom w:val="double" w:sz="4" w:space="0" w:color="auto"/>
              <w:right w:val="single" w:sz="4" w:space="0" w:color="auto"/>
            </w:tcBorders>
            <w:shd w:val="clear" w:color="auto" w:fill="auto"/>
          </w:tcPr>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Priemonė</w:t>
            </w: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Įgyvendinimo</w:t>
            </w:r>
          </w:p>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laikotarpis, m.</w:t>
            </w:r>
          </w:p>
        </w:tc>
        <w:tc>
          <w:tcPr>
            <w:tcW w:w="2835" w:type="dxa"/>
            <w:tcBorders>
              <w:top w:val="single" w:sz="4" w:space="0" w:color="auto"/>
              <w:left w:val="single" w:sz="4" w:space="0" w:color="auto"/>
              <w:bottom w:val="double" w:sz="4" w:space="0" w:color="auto"/>
              <w:right w:val="single" w:sz="4" w:space="0" w:color="auto"/>
            </w:tcBorders>
            <w:shd w:val="clear" w:color="auto" w:fill="auto"/>
          </w:tcPr>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Vertinimo kriterijus</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Lėšos, Eur</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C62468" w:rsidRPr="00C62468" w:rsidRDefault="00C62468" w:rsidP="00C62468">
            <w:pPr>
              <w:spacing w:after="0" w:line="240" w:lineRule="auto"/>
              <w:jc w:val="center"/>
              <w:rPr>
                <w:rFonts w:ascii="Times New Roman" w:eastAsia="Times New Roman" w:hAnsi="Times New Roman" w:cs="Times New Roman"/>
                <w:b/>
                <w:bCs/>
              </w:rPr>
            </w:pPr>
            <w:r w:rsidRPr="00C62468">
              <w:rPr>
                <w:rFonts w:ascii="Times New Roman" w:eastAsia="Times New Roman" w:hAnsi="Times New Roman" w:cs="Times New Roman"/>
                <w:b/>
                <w:bCs/>
              </w:rPr>
              <w:t>Lėšų šaltinis</w:t>
            </w:r>
          </w:p>
        </w:tc>
      </w:tr>
      <w:tr w:rsidR="00C62468" w:rsidRPr="00C62468" w:rsidTr="00BD7062">
        <w:trPr>
          <w:cantSplit/>
        </w:trPr>
        <w:tc>
          <w:tcPr>
            <w:tcW w:w="4112" w:type="dxa"/>
            <w:tcBorders>
              <w:top w:val="doub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b/>
                <w:bCs/>
                <w:lang w:val="en-US"/>
              </w:rPr>
            </w:pPr>
            <w:r w:rsidRPr="00C62468">
              <w:rPr>
                <w:rFonts w:ascii="Times New Roman" w:eastAsia="Times New Roman" w:hAnsi="Times New Roman" w:cs="Times New Roman"/>
              </w:rPr>
              <w:t>1.1.1.1. Vietos bendruomenės viešųjų paslaugų poreikio nuolatinis monitoringas</w:t>
            </w:r>
          </w:p>
        </w:tc>
        <w:tc>
          <w:tcPr>
            <w:tcW w:w="1559" w:type="dxa"/>
            <w:tcBorders>
              <w:top w:val="doub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doub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Susitikimų, diskusijų skaičius</w:t>
            </w:r>
          </w:p>
        </w:tc>
        <w:tc>
          <w:tcPr>
            <w:tcW w:w="992" w:type="dxa"/>
            <w:tcBorders>
              <w:top w:val="doub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doub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1.1.1.2. Tarpinstitucinio bendradarbiavimo formalizavimas </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w:t>
            </w:r>
            <w:r w:rsidRPr="00C62468">
              <w:rPr>
                <w:rFonts w:ascii="Times New Roman" w:eastAsia="Times New Roman" w:hAnsi="Times New Roman" w:cs="Times New Roman"/>
                <w:lang w:val="en-US"/>
              </w:rPr>
              <w:t>1</w:t>
            </w:r>
            <w:r w:rsidRPr="00C62468">
              <w:rPr>
                <w:rFonts w:ascii="Times New Roman" w:eastAsia="Times New Roman" w:hAnsi="Times New Roman" w:cs="Times New Roman"/>
              </w:rPr>
              <w:t>-2022</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Sutarčių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1.1.1.3.Tarpinstitucinio bendradarbiavimo aktyvinimas </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Naujų partnerių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cPr>
          <w:p w:rsidR="00C62468" w:rsidRPr="00C62468" w:rsidRDefault="00C62468" w:rsidP="00C62468">
            <w:pPr>
              <w:spacing w:after="0" w:line="240" w:lineRule="auto"/>
              <w:jc w:val="both"/>
              <w:rPr>
                <w:rFonts w:ascii="Times New Roman" w:eastAsia="Times New Roman" w:hAnsi="Times New Roman" w:cs="Times New Roman"/>
                <w:b/>
                <w:bCs/>
              </w:rPr>
            </w:pPr>
            <w:r w:rsidRPr="00C62468">
              <w:rPr>
                <w:rFonts w:ascii="Times New Roman" w:eastAsia="Times New Roman" w:hAnsi="Times New Roman" w:cs="Times New Roman"/>
                <w:b/>
                <w:bCs/>
              </w:rPr>
              <w:t>1.2. Tikslas. Užtikrinti viešųjų paslaugų plėtrą</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1.2.1. Uždavinys. Sklandžiai įdiegti naujų paslaugų teikimą </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lang w:val="en-US"/>
              </w:rPr>
            </w:pPr>
            <w:r w:rsidRPr="00C62468">
              <w:rPr>
                <w:rFonts w:ascii="Times New Roman" w:eastAsia="Times New Roman" w:hAnsi="Times New Roman" w:cs="Times New Roman"/>
              </w:rPr>
              <w:t>1.2.1.1. Infrastruktūros priemonių, įrangos) pritaikomumo vertinimas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Naujų paslaugų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1.2.1.2. Reikiamo personalo paieška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Personalo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1.2.1. Uždavinys. Tobulinti finansinių lėšų valdymą</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lang w:val="en-US"/>
              </w:rPr>
              <w:t xml:space="preserve">1.2.1.1. ES </w:t>
            </w:r>
            <w:r w:rsidRPr="00C62468">
              <w:rPr>
                <w:rFonts w:ascii="Times New Roman" w:eastAsia="Times New Roman" w:hAnsi="Times New Roman" w:cs="Times New Roman"/>
              </w:rPr>
              <w:t>fondų lėšų pritraukimas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Lėšos Eur</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1.2.1.3. Finansinių lėšų iš kitų šaltinių pritraukimas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Lėšos Eur</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C62468">
        <w:trPr>
          <w:cantSplit/>
          <w:trHeight w:val="496"/>
        </w:trPr>
        <w:tc>
          <w:tcPr>
            <w:tcW w:w="10490" w:type="dxa"/>
            <w:gridSpan w:val="5"/>
            <w:tcBorders>
              <w:top w:val="single" w:sz="4" w:space="0" w:color="auto"/>
              <w:left w:val="single" w:sz="4" w:space="0" w:color="auto"/>
              <w:bottom w:val="single" w:sz="4" w:space="0" w:color="auto"/>
              <w:right w:val="single" w:sz="4" w:space="0" w:color="auto"/>
            </w:tcBorders>
            <w:shd w:val="clear" w:color="auto" w:fill="538135"/>
          </w:tcPr>
          <w:p w:rsidR="00C62468" w:rsidRPr="00C62468" w:rsidRDefault="00C62468" w:rsidP="00C62468">
            <w:pPr>
              <w:spacing w:after="0" w:line="240" w:lineRule="auto"/>
              <w:jc w:val="center"/>
              <w:rPr>
                <w:rFonts w:ascii="Times New Roman" w:eastAsia="Times New Roman" w:hAnsi="Times New Roman" w:cs="Times New Roman"/>
                <w:b/>
                <w:bCs/>
                <w:color w:val="FFFFFF"/>
                <w:sz w:val="24"/>
                <w:szCs w:val="24"/>
              </w:rPr>
            </w:pPr>
            <w:r w:rsidRPr="00C62468">
              <w:rPr>
                <w:rFonts w:ascii="Times New Roman" w:eastAsia="Times New Roman" w:hAnsi="Times New Roman" w:cs="Times New Roman"/>
                <w:b/>
                <w:bCs/>
                <w:color w:val="FFFFFF"/>
                <w:sz w:val="24"/>
                <w:szCs w:val="24"/>
              </w:rPr>
              <w:t>II. PRIORITETAS. KOKYBIŠKŲ IR ŠIUOLAIKIŠKŲ PASLAUGŲ TEIKIMAS</w:t>
            </w:r>
          </w:p>
        </w:tc>
      </w:tr>
      <w:tr w:rsidR="00C62468" w:rsidRPr="00C62468" w:rsidTr="00C62468">
        <w:trPr>
          <w:cantSplit/>
          <w:trHeight w:val="167"/>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cPr>
          <w:p w:rsidR="00C62468" w:rsidRPr="00C62468" w:rsidRDefault="00C62468" w:rsidP="00C62468">
            <w:pPr>
              <w:spacing w:after="0" w:line="240" w:lineRule="auto"/>
              <w:jc w:val="both"/>
              <w:rPr>
                <w:rFonts w:ascii="Times New Roman" w:eastAsia="Times New Roman" w:hAnsi="Times New Roman" w:cs="Times New Roman"/>
                <w:b/>
                <w:bCs/>
              </w:rPr>
            </w:pPr>
            <w:r w:rsidRPr="00C62468">
              <w:rPr>
                <w:rFonts w:ascii="Times New Roman" w:eastAsia="Times New Roman" w:hAnsi="Times New Roman" w:cs="Times New Roman"/>
                <w:b/>
                <w:bCs/>
              </w:rPr>
              <w:t>2.1. Tikslas. Tobulinti teikiamų paslaugų kokybę</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2.1.1. Uždavinys. </w:t>
            </w:r>
            <w:r w:rsidRPr="00C62468">
              <w:rPr>
                <w:rFonts w:ascii="Times New Roman" w:eastAsia="Calibri" w:hAnsi="Times New Roman" w:cs="Times New Roman"/>
                <w:color w:val="00000A"/>
              </w:rPr>
              <w:t>Plėtoti</w:t>
            </w:r>
            <w:r w:rsidRPr="00C62468">
              <w:rPr>
                <w:rFonts w:ascii="Times New Roman" w:eastAsia="TimesNewRomanPS-BoldMT" w:hAnsi="Times New Roman" w:cs="Times New Roman"/>
              </w:rPr>
              <w:t xml:space="preserve"> nuolat tobulėjančią specialistų bendruomenę</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autoSpaceDE w:val="0"/>
              <w:autoSpaceDN w:val="0"/>
              <w:adjustRightInd w:val="0"/>
              <w:spacing w:after="0" w:line="240" w:lineRule="auto"/>
              <w:jc w:val="both"/>
              <w:rPr>
                <w:rFonts w:ascii="Times New Roman" w:eastAsia="Calibri" w:hAnsi="Times New Roman" w:cs="Times New Roman"/>
              </w:rPr>
            </w:pPr>
            <w:r w:rsidRPr="00C62468">
              <w:rPr>
                <w:rFonts w:ascii="Times New Roman" w:eastAsia="Times New Roman" w:hAnsi="Times New Roman" w:cs="Times New Roman"/>
              </w:rPr>
              <w:t xml:space="preserve">2.1.1.1. </w:t>
            </w:r>
            <w:r w:rsidRPr="00C62468">
              <w:rPr>
                <w:rFonts w:ascii="Times New Roman" w:eastAsia="Calibri" w:hAnsi="Times New Roman" w:cs="Times New Roman"/>
                <w:color w:val="00000A"/>
              </w:rPr>
              <w:t>Specialistų</w:t>
            </w:r>
            <w:r w:rsidRPr="00C62468">
              <w:rPr>
                <w:rFonts w:ascii="Times New Roman" w:eastAsia="Calibri" w:hAnsi="Times New Roman" w:cs="Times New Roman"/>
              </w:rPr>
              <w:t xml:space="preserve"> kvalifikacijos ir profesinės kompetencijos tobulinimo, atestacijos</w:t>
            </w:r>
          </w:p>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Calibri" w:hAnsi="Times New Roman" w:cs="Times New Roman"/>
              </w:rPr>
              <w:t>planavimas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Atestacijų, seminarų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2.1.1.2. </w:t>
            </w:r>
            <w:r w:rsidRPr="00C62468">
              <w:rPr>
                <w:rFonts w:ascii="Times New Roman" w:eastAsia="Calibri" w:hAnsi="Times New Roman" w:cs="Times New Roman"/>
              </w:rPr>
              <w:t>Pažintinių išvykų organizavimas įstaigos darbuotojams, sėkmingų veiklos patirčių analizė ir įsivertinimas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Renginių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2.1.2. Uždavinys. Įdiegti kokybės valdymo sistemą </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2.1.2.1. Kokybės valdymo modelių analizė</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w:t>
            </w:r>
            <w:r w:rsidRPr="00C62468">
              <w:rPr>
                <w:rFonts w:ascii="Times New Roman" w:eastAsia="Times New Roman" w:hAnsi="Times New Roman" w:cs="Times New Roman"/>
                <w:lang w:val="en-US"/>
              </w:rPr>
              <w:t>1</w:t>
            </w:r>
            <w:r w:rsidRPr="00C62468">
              <w:rPr>
                <w:rFonts w:ascii="Times New Roman" w:eastAsia="Times New Roman" w:hAnsi="Times New Roman" w:cs="Times New Roman"/>
              </w:rPr>
              <w:t>-2022</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Nagrinėtų modelių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lang w:val="en-US"/>
              </w:rPr>
            </w:pPr>
            <w:r w:rsidRPr="00C62468">
              <w:rPr>
                <w:rFonts w:ascii="Times New Roman" w:eastAsia="Times New Roman" w:hAnsi="Times New Roman" w:cs="Times New Roman"/>
              </w:rPr>
              <w:t>2.1.2.2. Numatytos sistemos diegimas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2022-2023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Įdiegta sistema</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2.1.2.3. Vartotojų pasitenkinimo teikiamų paslaugų kokybe monitoringas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lang w:val="en-US"/>
              </w:rPr>
            </w:pPr>
            <w:r w:rsidRPr="00C62468">
              <w:rPr>
                <w:rFonts w:ascii="Times New Roman" w:eastAsia="Times New Roman" w:hAnsi="Times New Roman" w:cs="Times New Roman"/>
              </w:rPr>
              <w:t>2021-202</w:t>
            </w:r>
            <w:r w:rsidRPr="00C62468">
              <w:rPr>
                <w:rFonts w:ascii="Times New Roman" w:eastAsia="Times New Roman" w:hAnsi="Times New Roman" w:cs="Times New Roman"/>
                <w:lang w:val="en-US"/>
              </w:rPr>
              <w:t>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Vartotojų pasitenkinimo pokytis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cPr>
          <w:p w:rsidR="00C62468" w:rsidRPr="00C62468" w:rsidRDefault="00C62468" w:rsidP="00C62468">
            <w:pPr>
              <w:spacing w:after="0" w:line="240" w:lineRule="auto"/>
              <w:jc w:val="both"/>
              <w:rPr>
                <w:rFonts w:ascii="Times New Roman" w:eastAsia="Times New Roman" w:hAnsi="Times New Roman" w:cs="Times New Roman"/>
                <w:b/>
                <w:bCs/>
              </w:rPr>
            </w:pPr>
            <w:r w:rsidRPr="00C62468">
              <w:rPr>
                <w:rFonts w:ascii="Times New Roman" w:eastAsia="Times New Roman" w:hAnsi="Times New Roman" w:cs="Times New Roman"/>
                <w:b/>
                <w:bCs/>
              </w:rPr>
              <w:t>2.2. Tikslas.  Plėtoti ir diegti inovacijas</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2.2.1. Uždavinys. </w:t>
            </w:r>
            <w:r w:rsidRPr="00C62468">
              <w:rPr>
                <w:rFonts w:ascii="TimesNewRomanPSMT" w:eastAsia="Calibri" w:hAnsi="TimesNewRomanPSMT" w:cs="TimesNewRomanPSMT"/>
                <w:sz w:val="24"/>
                <w:szCs w:val="24"/>
              </w:rPr>
              <w:t>Sudaryti lygias ugdymosi galimybes visiems vaikams, atsižvelgiant į jų individualius poreikius (specialiųjų poreikių, gabiems vaikams)</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2.2.1.1. Įtraukiojo ugdymo modelio diegimas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Vaikų skaičius grupėje</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UDC </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2.2.1.2. Inovatyvių ugdymo priemonių naudojimas ugdymo procese</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Edukacinės veiklos kokybė</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2.2.1.3.Tėvų ir vaikų naujų bendradarbiavimo formų paieška </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Pasitenkinimo pokytis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C62468">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 xml:space="preserve">2.2.2. Uždavinys. </w:t>
            </w:r>
            <w:r w:rsidRPr="00C62468">
              <w:rPr>
                <w:rFonts w:ascii="TimesNewRomanPSMT" w:eastAsia="Calibri" w:hAnsi="TimesNewRomanPSMT" w:cs="TimesNewRomanPSMT"/>
                <w:sz w:val="24"/>
                <w:szCs w:val="24"/>
              </w:rPr>
              <w:t>Skatinti kaimo gyventojų (vaikų, jaunimo, suaugusiųjų) fizinį aktyvumą, sveiką gyvenseną</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autoSpaceDE w:val="0"/>
              <w:autoSpaceDN w:val="0"/>
              <w:adjustRightInd w:val="0"/>
              <w:spacing w:after="0" w:line="240" w:lineRule="auto"/>
              <w:rPr>
                <w:rFonts w:ascii="TimesNewRomanPSMT" w:eastAsia="Calibri" w:hAnsi="TimesNewRomanPSMT" w:cs="TimesNewRomanPSMT"/>
                <w:sz w:val="24"/>
                <w:szCs w:val="24"/>
              </w:rPr>
            </w:pPr>
            <w:r w:rsidRPr="00C62468">
              <w:rPr>
                <w:rFonts w:ascii="Times New Roman" w:eastAsia="Times New Roman" w:hAnsi="Times New Roman" w:cs="Times New Roman"/>
              </w:rPr>
              <w:lastRenderedPageBreak/>
              <w:t xml:space="preserve">2.2.2.1. </w:t>
            </w:r>
            <w:r w:rsidRPr="00C62468">
              <w:rPr>
                <w:rFonts w:ascii="TimesNewRomanPSMT" w:eastAsia="Calibri" w:hAnsi="TimesNewRomanPSMT" w:cs="TimesNewRomanPSMT"/>
                <w:sz w:val="24"/>
                <w:szCs w:val="24"/>
              </w:rPr>
              <w:t>Dalyvavimas sveikatingumo</w:t>
            </w:r>
          </w:p>
          <w:p w:rsidR="00C62468" w:rsidRPr="00C62468" w:rsidRDefault="00C62468" w:rsidP="00C62468">
            <w:pPr>
              <w:autoSpaceDE w:val="0"/>
              <w:autoSpaceDN w:val="0"/>
              <w:adjustRightInd w:val="0"/>
              <w:spacing w:after="0" w:line="240" w:lineRule="auto"/>
              <w:rPr>
                <w:rFonts w:ascii="TimesNewRomanPSMT" w:eastAsia="Calibri" w:hAnsi="TimesNewRomanPSMT" w:cs="TimesNewRomanPSMT"/>
                <w:sz w:val="24"/>
                <w:szCs w:val="24"/>
              </w:rPr>
            </w:pPr>
            <w:r w:rsidRPr="00C62468">
              <w:rPr>
                <w:rFonts w:ascii="TimesNewRomanPSMT" w:eastAsia="Calibri" w:hAnsi="TimesNewRomanPSMT" w:cs="TimesNewRomanPSMT"/>
                <w:sz w:val="24"/>
                <w:szCs w:val="24"/>
              </w:rPr>
              <w:t>renginiuose, varžybose,</w:t>
            </w:r>
          </w:p>
          <w:p w:rsidR="00C62468" w:rsidRPr="00C62468" w:rsidRDefault="00C62468" w:rsidP="00C62468">
            <w:pPr>
              <w:autoSpaceDE w:val="0"/>
              <w:autoSpaceDN w:val="0"/>
              <w:adjustRightInd w:val="0"/>
              <w:spacing w:after="0" w:line="240" w:lineRule="auto"/>
              <w:rPr>
                <w:rFonts w:ascii="TimesNewRomanPSMT" w:eastAsia="Calibri" w:hAnsi="TimesNewRomanPSMT" w:cs="TimesNewRomanPSMT"/>
                <w:sz w:val="24"/>
                <w:szCs w:val="24"/>
              </w:rPr>
            </w:pPr>
            <w:r w:rsidRPr="00C62468">
              <w:rPr>
                <w:rFonts w:ascii="TimesNewRomanPSMT" w:eastAsia="Calibri" w:hAnsi="TimesNewRomanPSMT" w:cs="TimesNewRomanPSMT"/>
                <w:sz w:val="24"/>
                <w:szCs w:val="24"/>
              </w:rPr>
              <w:t>turnyruose įtraukiant visą</w:t>
            </w:r>
          </w:p>
          <w:p w:rsidR="00C62468" w:rsidRPr="00C62468" w:rsidRDefault="00C62468" w:rsidP="00C62468">
            <w:pPr>
              <w:autoSpaceDE w:val="0"/>
              <w:autoSpaceDN w:val="0"/>
              <w:adjustRightInd w:val="0"/>
              <w:spacing w:after="0" w:line="240" w:lineRule="auto"/>
              <w:rPr>
                <w:rFonts w:ascii="TimesNewRomanPSMT" w:eastAsia="Calibri" w:hAnsi="TimesNewRomanPSMT" w:cs="TimesNewRomanPSMT"/>
                <w:sz w:val="24"/>
                <w:szCs w:val="24"/>
              </w:rPr>
            </w:pPr>
            <w:r w:rsidRPr="00C62468">
              <w:rPr>
                <w:rFonts w:ascii="TimesNewRomanPSMT" w:eastAsia="Calibri" w:hAnsi="TimesNewRomanPSMT" w:cs="TimesNewRomanPSMT"/>
                <w:sz w:val="24"/>
                <w:szCs w:val="24"/>
              </w:rPr>
              <w:t>bendruomenę ir socialinius</w:t>
            </w:r>
          </w:p>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NewRomanPSMT" w:eastAsia="Calibri" w:hAnsi="TimesNewRomanPSMT" w:cs="TimesNewRomanPSMT"/>
                <w:sz w:val="24"/>
                <w:szCs w:val="24"/>
              </w:rPr>
              <w:t>partnerius.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Renginių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2.2.2.2. Sporto bazės stiprinimas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Įrengtas sporto kompleksas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contextualSpacing/>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r w:rsidR="00C62468" w:rsidRPr="00C62468" w:rsidTr="00BD7062">
        <w:trPr>
          <w:cantSplit/>
        </w:trPr>
        <w:tc>
          <w:tcPr>
            <w:tcW w:w="411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2.2.2.3.  Kokybiškų socialinių paslaugų teikimas kaimo bendruomenės nariams</w:t>
            </w:r>
          </w:p>
        </w:tc>
        <w:tc>
          <w:tcPr>
            <w:tcW w:w="1559"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2021-2023</w:t>
            </w:r>
          </w:p>
        </w:tc>
        <w:tc>
          <w:tcPr>
            <w:tcW w:w="2835"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120" w:line="240" w:lineRule="auto"/>
              <w:jc w:val="both"/>
              <w:rPr>
                <w:rFonts w:ascii="Times New Roman" w:eastAsia="Times New Roman" w:hAnsi="Times New Roman" w:cs="Times New Roman"/>
              </w:rPr>
            </w:pPr>
            <w:r w:rsidRPr="00C62468">
              <w:rPr>
                <w:rFonts w:ascii="Times New Roman" w:eastAsia="Times New Roman" w:hAnsi="Times New Roman" w:cs="Times New Roman"/>
              </w:rPr>
              <w:t>Paslaugų skaičius</w:t>
            </w: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2468" w:rsidRPr="00C62468" w:rsidRDefault="00C62468" w:rsidP="00C62468">
            <w:pPr>
              <w:spacing w:after="0" w:line="240" w:lineRule="auto"/>
              <w:jc w:val="both"/>
              <w:rPr>
                <w:rFonts w:ascii="Times New Roman" w:eastAsia="Times New Roman" w:hAnsi="Times New Roman" w:cs="Times New Roman"/>
              </w:rPr>
            </w:pPr>
            <w:r w:rsidRPr="00C62468">
              <w:rPr>
                <w:rFonts w:ascii="Times New Roman" w:eastAsia="Times New Roman" w:hAnsi="Times New Roman" w:cs="Times New Roman"/>
              </w:rPr>
              <w:t>UDC</w:t>
            </w:r>
          </w:p>
        </w:tc>
      </w:tr>
    </w:tbl>
    <w:p w:rsidR="00C62468" w:rsidRPr="00C62468" w:rsidRDefault="00C62468" w:rsidP="00C62468">
      <w:pPr>
        <w:spacing w:after="0" w:line="240" w:lineRule="auto"/>
        <w:jc w:val="both"/>
        <w:rPr>
          <w:rFonts w:ascii="Times New Roman" w:eastAsia="Calibri" w:hAnsi="Times New Roman" w:cs="Times New Roman"/>
        </w:rPr>
      </w:pPr>
    </w:p>
    <w:p w:rsidR="00C62468" w:rsidRPr="00C62468" w:rsidRDefault="00C62468" w:rsidP="00C62468">
      <w:pPr>
        <w:spacing w:after="0" w:line="240" w:lineRule="auto"/>
        <w:jc w:val="both"/>
        <w:rPr>
          <w:rFonts w:ascii="Times New Roman" w:eastAsia="Calibri" w:hAnsi="Times New Roman" w:cs="Times New Roman"/>
        </w:rPr>
      </w:pPr>
    </w:p>
    <w:p w:rsidR="00C62468" w:rsidRPr="00C62468" w:rsidRDefault="00C62468" w:rsidP="00C62468">
      <w:pPr>
        <w:spacing w:after="0" w:line="240" w:lineRule="auto"/>
        <w:jc w:val="both"/>
        <w:rPr>
          <w:rFonts w:ascii="Times New Roman" w:eastAsia="Calibri" w:hAnsi="Times New Roman" w:cs="Times New Roman"/>
        </w:rPr>
      </w:pPr>
    </w:p>
    <w:p w:rsidR="00C62468" w:rsidRPr="00C62468" w:rsidRDefault="00C62468" w:rsidP="00C62468">
      <w:pPr>
        <w:spacing w:after="0" w:line="240" w:lineRule="auto"/>
        <w:jc w:val="both"/>
        <w:rPr>
          <w:rFonts w:ascii="Times New Roman" w:eastAsia="Calibri" w:hAnsi="Times New Roman" w:cs="Times New Roman"/>
        </w:rPr>
      </w:pPr>
    </w:p>
    <w:p w:rsidR="00C62468" w:rsidRPr="00C62468" w:rsidRDefault="00C62468" w:rsidP="00C62468">
      <w:pPr>
        <w:spacing w:after="0" w:line="360" w:lineRule="auto"/>
        <w:jc w:val="center"/>
        <w:rPr>
          <w:rFonts w:ascii="Times New Roman" w:eastAsia="Times New Roman" w:hAnsi="Times New Roman" w:cs="Times New Roman"/>
          <w:b/>
          <w:bCs/>
          <w:sz w:val="24"/>
          <w:szCs w:val="24"/>
        </w:rPr>
      </w:pPr>
      <w:r w:rsidRPr="00C62468">
        <w:rPr>
          <w:rFonts w:ascii="Times New Roman" w:eastAsia="Calibri" w:hAnsi="Times New Roman" w:cs="Times New Roman"/>
          <w:b/>
          <w:bCs/>
          <w:sz w:val="24"/>
          <w:szCs w:val="24"/>
        </w:rPr>
        <w:t xml:space="preserve">5.1. </w:t>
      </w:r>
      <w:r w:rsidRPr="00C62468">
        <w:rPr>
          <w:rFonts w:ascii="Times New Roman" w:eastAsia="Times New Roman" w:hAnsi="Times New Roman" w:cs="Times New Roman"/>
          <w:b/>
          <w:bCs/>
          <w:sz w:val="24"/>
          <w:szCs w:val="24"/>
        </w:rPr>
        <w:t>Strateginio plano realizavimo stebėsena ir kontrolė</w:t>
      </w:r>
    </w:p>
    <w:p w:rsidR="00C62468" w:rsidRPr="00C62468" w:rsidRDefault="00C62468" w:rsidP="00C62468">
      <w:pPr>
        <w:spacing w:after="0" w:line="360" w:lineRule="auto"/>
        <w:jc w:val="center"/>
        <w:rPr>
          <w:rFonts w:ascii="Times New Roman" w:eastAsia="Calibri" w:hAnsi="Times New Roman" w:cs="Times New Roman"/>
          <w:b/>
          <w:bCs/>
          <w:sz w:val="24"/>
          <w:szCs w:val="24"/>
        </w:rPr>
      </w:pPr>
    </w:p>
    <w:p w:rsidR="00C62468" w:rsidRPr="00C62468" w:rsidRDefault="00C62468" w:rsidP="00C62468">
      <w:pPr>
        <w:spacing w:after="0" w:line="36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Centro strateginis planas parengtas 3 metų laikotarpiui. Stebėsena vykdoma nenutrūkstamai, visą laikotarpį. Tarpinis plano įgyvendinimo vertinimas pateikiamas kiekvienais metais Centro direktoriaus Metiniame pranešime.</w:t>
      </w:r>
    </w:p>
    <w:p w:rsidR="00C62468" w:rsidRPr="00C62468" w:rsidRDefault="00C62468" w:rsidP="00C62468">
      <w:pPr>
        <w:spacing w:after="0" w:line="36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Siekiant kryptingai įgyvendinti strateginius tikslus, strateginio plano peržiūra ir koregavimas atliekamas laikantis tam tikrų taisyklių:</w:t>
      </w:r>
    </w:p>
    <w:p w:rsidR="00C62468" w:rsidRPr="00C62468" w:rsidRDefault="00C62468" w:rsidP="00C62468">
      <w:pPr>
        <w:spacing w:after="0" w:line="36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 xml:space="preserve">1.Centro misija, vizija ir vertybės - esminiai apibūdinimai, parodantys įstaigos gyvybingumą. Šie aspektai yra unikali vidaus bei išorės komunikacijos priemonė, leidžianti deklaruoti vieningus veiklos principus ir pristatyti Centrą visuomenei. Misija, vizija ir vertybės gali būti periodiškai atnaujinamos, siekiant jų atitikties įstaigos strateginėms kryptims. </w:t>
      </w:r>
    </w:p>
    <w:p w:rsidR="00C62468" w:rsidRPr="00C62468" w:rsidRDefault="00C62468" w:rsidP="00C62468">
      <w:pPr>
        <w:spacing w:after="0" w:line="360" w:lineRule="auto"/>
        <w:jc w:val="both"/>
        <w:rPr>
          <w:rFonts w:ascii="Times New Roman" w:eastAsia="Times New Roman" w:hAnsi="Times New Roman" w:cs="Times New Roman"/>
          <w:sz w:val="24"/>
          <w:szCs w:val="24"/>
        </w:rPr>
      </w:pPr>
      <w:r w:rsidRPr="00C62468">
        <w:rPr>
          <w:rFonts w:ascii="Times New Roman" w:eastAsia="Times New Roman" w:hAnsi="Times New Roman" w:cs="Times New Roman"/>
          <w:sz w:val="24"/>
          <w:szCs w:val="24"/>
        </w:rPr>
        <w:t>2. Numatytos strateginės kryptys ir tikslai rodo tęstinius, ilgalaikius Centro siekius bei ateities prioritetus, todėl jų atsisakymas ar reikšmingas keitimas turi būti aiškiai pagrįstas ir paaiškintas. Naujos strateginės kryptys bei tikslai į strateginį planą gali būti įtraukiami pagal poreikį, atitinkamai įtraukiant ir visą loginę uždavinių bei priemonių struktūrą, reikalingą nustatytiems tikslams pasiekti;</w:t>
      </w:r>
    </w:p>
    <w:p w:rsidR="00C62468" w:rsidRPr="00C62468" w:rsidRDefault="00C62468" w:rsidP="00C62468">
      <w:pPr>
        <w:spacing w:after="120" w:line="360" w:lineRule="auto"/>
        <w:jc w:val="both"/>
        <w:rPr>
          <w:rFonts w:ascii="Times New Roman" w:eastAsia="Times New Roman" w:hAnsi="Times New Roman" w:cs="Times New Roman"/>
          <w:b/>
          <w:bCs/>
          <w:i/>
          <w:iCs/>
          <w:sz w:val="24"/>
          <w:szCs w:val="24"/>
        </w:rPr>
      </w:pPr>
      <w:r w:rsidRPr="00C62468">
        <w:rPr>
          <w:rFonts w:ascii="Times New Roman" w:eastAsia="Times New Roman" w:hAnsi="Times New Roman" w:cs="Times New Roman"/>
          <w:sz w:val="24"/>
          <w:szCs w:val="24"/>
        </w:rPr>
        <w:t xml:space="preserve">3. </w:t>
      </w:r>
      <w:r w:rsidRPr="00C62468">
        <w:rPr>
          <w:rFonts w:ascii="Times New Roman" w:eastAsia="Times New Roman" w:hAnsi="Times New Roman" w:cs="Times New Roman"/>
          <w:b/>
          <w:bCs/>
          <w:i/>
          <w:iCs/>
          <w:sz w:val="24"/>
          <w:szCs w:val="24"/>
        </w:rPr>
        <w:t>Numatytų uždavinių bei priemonių gali būti atsisakoma, kai jų įgyvendinimas tampa neįmanomas arba nebeprisideda prie strateginiame plane iškeltų tikslų siekimo. Nauji uždaviniai ir priemonės į strateginį planą gali būti įtraukiami, jei jie yra reikalingi nustatytiems tikslams pasiekti.</w:t>
      </w:r>
    </w:p>
    <w:p w:rsidR="00C62468" w:rsidRPr="00C62468" w:rsidRDefault="00C62468" w:rsidP="00C62468">
      <w:pPr>
        <w:spacing w:after="0" w:line="240" w:lineRule="auto"/>
        <w:jc w:val="center"/>
        <w:rPr>
          <w:rFonts w:ascii="Times New Roman" w:eastAsia="Calibri" w:hAnsi="Times New Roman" w:cs="Times New Roman"/>
          <w:b/>
          <w:bCs/>
          <w:sz w:val="36"/>
          <w:szCs w:val="36"/>
        </w:rPr>
      </w:pPr>
    </w:p>
    <w:p w:rsidR="00322AF4" w:rsidRDefault="00322AF4">
      <w:bookmarkStart w:id="14" w:name="_GoBack"/>
      <w:bookmarkEnd w:id="14"/>
    </w:p>
    <w:sectPr w:rsidR="00322AF4">
      <w:headerReference w:type="default" r:id="rId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12016"/>
      <w:docPartObj>
        <w:docPartGallery w:val="Page Numbers (Top of Page)"/>
        <w:docPartUnique/>
      </w:docPartObj>
    </w:sdtPr>
    <w:sdtEndPr/>
    <w:sdtContent>
      <w:p w:rsidR="00B14F8C" w:rsidRDefault="00C62468">
        <w:pPr>
          <w:pStyle w:val="Antrats"/>
          <w:ind w:firstLine="0"/>
          <w:jc w:val="center"/>
        </w:pPr>
        <w:r>
          <w:fldChar w:fldCharType="begin"/>
        </w:r>
        <w:r>
          <w:instrText>PAGE   \* MERGEFORMAT</w:instrText>
        </w:r>
        <w:r>
          <w:fldChar w:fldCharType="separate"/>
        </w:r>
        <w:r>
          <w:rPr>
            <w:noProof/>
          </w:rPr>
          <w:t>16</w:t>
        </w:r>
        <w:r>
          <w:fldChar w:fldCharType="end"/>
        </w:r>
      </w:p>
    </w:sdtContent>
  </w:sdt>
  <w:p w:rsidR="00B14F8C" w:rsidRDefault="00C62468">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198C"/>
    <w:multiLevelType w:val="hybridMultilevel"/>
    <w:tmpl w:val="6E368216"/>
    <w:lvl w:ilvl="0" w:tplc="8F542778">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5E66D95"/>
    <w:multiLevelType w:val="hybridMultilevel"/>
    <w:tmpl w:val="76FE66C8"/>
    <w:lvl w:ilvl="0" w:tplc="155E2F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442C8C"/>
    <w:multiLevelType w:val="hybridMultilevel"/>
    <w:tmpl w:val="5FA48672"/>
    <w:lvl w:ilvl="0" w:tplc="64B87BA8">
      <w:start w:val="1"/>
      <w:numFmt w:val="upperRoman"/>
      <w:lvlText w:val="%1."/>
      <w:lvlJc w:val="left"/>
      <w:pPr>
        <w:ind w:left="795" w:hanging="720"/>
      </w:pPr>
      <w:rPr>
        <w:rFonts w:ascii="Times New Roman" w:hAnsi="Times New Roman" w:hint="default"/>
        <w:b/>
        <w:sz w:val="28"/>
      </w:rPr>
    </w:lvl>
    <w:lvl w:ilvl="1" w:tplc="04270019" w:tentative="1">
      <w:start w:val="1"/>
      <w:numFmt w:val="lowerLetter"/>
      <w:lvlText w:val="%2."/>
      <w:lvlJc w:val="left"/>
      <w:pPr>
        <w:ind w:left="1155" w:hanging="360"/>
      </w:pPr>
    </w:lvl>
    <w:lvl w:ilvl="2" w:tplc="0427001B" w:tentative="1">
      <w:start w:val="1"/>
      <w:numFmt w:val="lowerRoman"/>
      <w:lvlText w:val="%3."/>
      <w:lvlJc w:val="right"/>
      <w:pPr>
        <w:ind w:left="1875" w:hanging="180"/>
      </w:pPr>
    </w:lvl>
    <w:lvl w:ilvl="3" w:tplc="0427000F" w:tentative="1">
      <w:start w:val="1"/>
      <w:numFmt w:val="decimal"/>
      <w:lvlText w:val="%4."/>
      <w:lvlJc w:val="left"/>
      <w:pPr>
        <w:ind w:left="2595" w:hanging="360"/>
      </w:pPr>
    </w:lvl>
    <w:lvl w:ilvl="4" w:tplc="04270019" w:tentative="1">
      <w:start w:val="1"/>
      <w:numFmt w:val="lowerLetter"/>
      <w:lvlText w:val="%5."/>
      <w:lvlJc w:val="left"/>
      <w:pPr>
        <w:ind w:left="3315" w:hanging="360"/>
      </w:pPr>
    </w:lvl>
    <w:lvl w:ilvl="5" w:tplc="0427001B" w:tentative="1">
      <w:start w:val="1"/>
      <w:numFmt w:val="lowerRoman"/>
      <w:lvlText w:val="%6."/>
      <w:lvlJc w:val="right"/>
      <w:pPr>
        <w:ind w:left="4035" w:hanging="180"/>
      </w:pPr>
    </w:lvl>
    <w:lvl w:ilvl="6" w:tplc="0427000F" w:tentative="1">
      <w:start w:val="1"/>
      <w:numFmt w:val="decimal"/>
      <w:lvlText w:val="%7."/>
      <w:lvlJc w:val="left"/>
      <w:pPr>
        <w:ind w:left="4755" w:hanging="360"/>
      </w:pPr>
    </w:lvl>
    <w:lvl w:ilvl="7" w:tplc="04270019" w:tentative="1">
      <w:start w:val="1"/>
      <w:numFmt w:val="lowerLetter"/>
      <w:lvlText w:val="%8."/>
      <w:lvlJc w:val="left"/>
      <w:pPr>
        <w:ind w:left="5475" w:hanging="360"/>
      </w:pPr>
    </w:lvl>
    <w:lvl w:ilvl="8" w:tplc="0427001B" w:tentative="1">
      <w:start w:val="1"/>
      <w:numFmt w:val="lowerRoman"/>
      <w:lvlText w:val="%9."/>
      <w:lvlJc w:val="right"/>
      <w:pPr>
        <w:ind w:left="6195" w:hanging="180"/>
      </w:pPr>
    </w:lvl>
  </w:abstractNum>
  <w:abstractNum w:abstractNumId="3" w15:restartNumberingAfterBreak="0">
    <w:nsid w:val="423D6453"/>
    <w:multiLevelType w:val="hybridMultilevel"/>
    <w:tmpl w:val="43F695E6"/>
    <w:lvl w:ilvl="0" w:tplc="EF9CEEF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23741"/>
    <w:multiLevelType w:val="hybridMultilevel"/>
    <w:tmpl w:val="C1E4F37A"/>
    <w:lvl w:ilvl="0" w:tplc="E64A2C74">
      <w:start w:val="1"/>
      <w:numFmt w:val="upperRoman"/>
      <w:lvlText w:val="%1."/>
      <w:lvlJc w:val="left"/>
      <w:pPr>
        <w:ind w:left="1080" w:hanging="720"/>
      </w:pPr>
      <w:rPr>
        <w:rFonts w:ascii="Times New Roman" w:hAnsi="Times New Roman"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40C04C0"/>
    <w:multiLevelType w:val="hybridMultilevel"/>
    <w:tmpl w:val="C87CC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6150CB3"/>
    <w:multiLevelType w:val="multilevel"/>
    <w:tmpl w:val="4E72E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326958"/>
    <w:multiLevelType w:val="hybridMultilevel"/>
    <w:tmpl w:val="DB643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673F58"/>
    <w:multiLevelType w:val="hybridMultilevel"/>
    <w:tmpl w:val="85BC0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8"/>
    <w:rsid w:val="00322AF4"/>
    <w:rsid w:val="00C62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8DE2-A866-4A18-B2BF-50F8D273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1"/>
    <w:uiPriority w:val="9"/>
    <w:qFormat/>
    <w:rsid w:val="00C62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link w:val="Antrat1Diagrama"/>
    <w:uiPriority w:val="9"/>
    <w:qFormat/>
    <w:rsid w:val="00C62468"/>
    <w:pPr>
      <w:keepNext/>
      <w:keepLines/>
      <w:spacing w:before="240" w:after="0" w:line="360" w:lineRule="auto"/>
      <w:ind w:firstLine="851"/>
      <w:jc w:val="both"/>
      <w:outlineLvl w:val="0"/>
    </w:pPr>
    <w:rPr>
      <w:rFonts w:ascii="Calibri Light" w:eastAsia="Times New Roman" w:hAnsi="Calibri Light" w:cs="Times New Roman"/>
      <w:color w:val="2F5496"/>
      <w:sz w:val="32"/>
      <w:szCs w:val="32"/>
    </w:rPr>
  </w:style>
  <w:style w:type="numbering" w:customStyle="1" w:styleId="Sraonra1">
    <w:name w:val="Sąrašo nėra1"/>
    <w:next w:val="Sraonra"/>
    <w:uiPriority w:val="99"/>
    <w:semiHidden/>
    <w:unhideWhenUsed/>
    <w:rsid w:val="00C62468"/>
  </w:style>
  <w:style w:type="table" w:styleId="Lentelstinklelis">
    <w:name w:val="Table Grid"/>
    <w:basedOn w:val="prastojilentel"/>
    <w:uiPriority w:val="39"/>
    <w:rsid w:val="00C62468"/>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62468"/>
    <w:pPr>
      <w:spacing w:after="0" w:line="360" w:lineRule="auto"/>
      <w:ind w:left="720" w:firstLine="851"/>
      <w:contextualSpacing/>
      <w:jc w:val="both"/>
    </w:pPr>
  </w:style>
  <w:style w:type="paragraph" w:styleId="Pavadinimas">
    <w:name w:val="Title"/>
    <w:aliases w:val=" Diagrama"/>
    <w:basedOn w:val="prastasis"/>
    <w:next w:val="Paantrat"/>
    <w:link w:val="PavadinimasDiagrama"/>
    <w:qFormat/>
    <w:rsid w:val="00C6246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PavadinimasDiagrama">
    <w:name w:val="Pavadinimas Diagrama"/>
    <w:aliases w:val=" Diagrama Diagrama"/>
    <w:basedOn w:val="Numatytasispastraiposriftas"/>
    <w:link w:val="Pavadinimas"/>
    <w:rsid w:val="00C62468"/>
    <w:rPr>
      <w:rFonts w:ascii="Times New Roman" w:eastAsia="Times New Roman" w:hAnsi="Times New Roman" w:cs="Times New Roman"/>
      <w:b/>
      <w:bCs/>
      <w:sz w:val="24"/>
      <w:szCs w:val="24"/>
      <w:lang w:eastAsia="ar-SA"/>
    </w:rPr>
  </w:style>
  <w:style w:type="paragraph" w:customStyle="1" w:styleId="Paantrat1">
    <w:name w:val="Paantraštė1"/>
    <w:basedOn w:val="prastasis"/>
    <w:next w:val="prastasis"/>
    <w:link w:val="PaantratDiagrama"/>
    <w:uiPriority w:val="11"/>
    <w:qFormat/>
    <w:rsid w:val="00C62468"/>
    <w:pPr>
      <w:numPr>
        <w:ilvl w:val="1"/>
      </w:numPr>
      <w:spacing w:line="360" w:lineRule="auto"/>
      <w:ind w:firstLine="851"/>
      <w:jc w:val="both"/>
    </w:pPr>
    <w:rPr>
      <w:rFonts w:eastAsia="Times New Roman"/>
      <w:color w:val="5A5A5A"/>
      <w:spacing w:val="15"/>
    </w:rPr>
  </w:style>
  <w:style w:type="character" w:customStyle="1" w:styleId="PaantratDiagrama">
    <w:name w:val="Paantraštė Diagrama"/>
    <w:basedOn w:val="Numatytasispastraiposriftas"/>
    <w:link w:val="Paantrat1"/>
    <w:uiPriority w:val="11"/>
    <w:rsid w:val="00C62468"/>
    <w:rPr>
      <w:rFonts w:eastAsia="Times New Roman"/>
      <w:color w:val="5A5A5A"/>
      <w:spacing w:val="15"/>
    </w:rPr>
  </w:style>
  <w:style w:type="character" w:styleId="Hipersaitas">
    <w:name w:val="Hyperlink"/>
    <w:basedOn w:val="Numatytasispastraiposriftas"/>
    <w:uiPriority w:val="99"/>
    <w:unhideWhenUsed/>
    <w:rsid w:val="00C62468"/>
    <w:rPr>
      <w:color w:val="0000FF"/>
      <w:u w:val="single"/>
    </w:rPr>
  </w:style>
  <w:style w:type="paragraph" w:styleId="Antrats">
    <w:name w:val="header"/>
    <w:basedOn w:val="prastasis"/>
    <w:link w:val="AntratsDiagrama"/>
    <w:uiPriority w:val="99"/>
    <w:unhideWhenUsed/>
    <w:rsid w:val="00C62468"/>
    <w:pPr>
      <w:tabs>
        <w:tab w:val="center" w:pos="4819"/>
        <w:tab w:val="right" w:pos="9638"/>
      </w:tabs>
      <w:spacing w:after="0" w:line="240" w:lineRule="auto"/>
      <w:ind w:firstLine="851"/>
      <w:jc w:val="both"/>
    </w:pPr>
  </w:style>
  <w:style w:type="character" w:customStyle="1" w:styleId="AntratsDiagrama">
    <w:name w:val="Antraštės Diagrama"/>
    <w:basedOn w:val="Numatytasispastraiposriftas"/>
    <w:link w:val="Antrats"/>
    <w:uiPriority w:val="99"/>
    <w:rsid w:val="00C62468"/>
  </w:style>
  <w:style w:type="paragraph" w:styleId="Porat">
    <w:name w:val="footer"/>
    <w:basedOn w:val="prastasis"/>
    <w:link w:val="PoratDiagrama"/>
    <w:uiPriority w:val="99"/>
    <w:unhideWhenUsed/>
    <w:rsid w:val="00C62468"/>
    <w:pPr>
      <w:tabs>
        <w:tab w:val="center" w:pos="4819"/>
        <w:tab w:val="right" w:pos="9638"/>
      </w:tabs>
      <w:spacing w:after="0" w:line="240" w:lineRule="auto"/>
      <w:ind w:firstLine="851"/>
      <w:jc w:val="both"/>
    </w:pPr>
  </w:style>
  <w:style w:type="character" w:customStyle="1" w:styleId="PoratDiagrama">
    <w:name w:val="Poraštė Diagrama"/>
    <w:basedOn w:val="Numatytasispastraiposriftas"/>
    <w:link w:val="Porat"/>
    <w:uiPriority w:val="99"/>
    <w:rsid w:val="00C62468"/>
  </w:style>
  <w:style w:type="character" w:customStyle="1" w:styleId="Antrat1Diagrama">
    <w:name w:val="Antraštė 1 Diagrama"/>
    <w:basedOn w:val="Numatytasispastraiposriftas"/>
    <w:link w:val="Antrat11"/>
    <w:uiPriority w:val="9"/>
    <w:rsid w:val="00C62468"/>
    <w:rPr>
      <w:rFonts w:ascii="Calibri Light" w:eastAsia="Times New Roman" w:hAnsi="Calibri Light" w:cs="Times New Roman"/>
      <w:color w:val="2F5496"/>
      <w:sz w:val="32"/>
      <w:szCs w:val="32"/>
    </w:rPr>
  </w:style>
  <w:style w:type="character" w:customStyle="1" w:styleId="Antrat1Diagrama1">
    <w:name w:val="Antraštė 1 Diagrama1"/>
    <w:basedOn w:val="Numatytasispastraiposriftas"/>
    <w:link w:val="Antrat1"/>
    <w:uiPriority w:val="9"/>
    <w:rsid w:val="00C62468"/>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C62468"/>
    <w:pPr>
      <w:outlineLvl w:val="9"/>
    </w:pPr>
    <w:rPr>
      <w:lang w:eastAsia="lt-LT"/>
    </w:rPr>
  </w:style>
  <w:style w:type="paragraph" w:customStyle="1" w:styleId="Turinys21">
    <w:name w:val="Turinys 21"/>
    <w:basedOn w:val="prastasis"/>
    <w:next w:val="prastasis"/>
    <w:autoRedefine/>
    <w:uiPriority w:val="39"/>
    <w:unhideWhenUsed/>
    <w:rsid w:val="00C62468"/>
    <w:pPr>
      <w:spacing w:after="100"/>
      <w:ind w:left="220"/>
    </w:pPr>
    <w:rPr>
      <w:rFonts w:eastAsia="Times New Roman" w:cs="Times New Roman"/>
      <w:lang w:eastAsia="lt-LT"/>
    </w:rPr>
  </w:style>
  <w:style w:type="paragraph" w:customStyle="1" w:styleId="Turinys11">
    <w:name w:val="Turinys 11"/>
    <w:basedOn w:val="prastasis"/>
    <w:next w:val="prastasis"/>
    <w:autoRedefine/>
    <w:uiPriority w:val="39"/>
    <w:unhideWhenUsed/>
    <w:rsid w:val="00C62468"/>
    <w:pPr>
      <w:spacing w:after="100"/>
    </w:pPr>
    <w:rPr>
      <w:rFonts w:eastAsia="Times New Roman" w:cs="Times New Roman"/>
      <w:lang w:eastAsia="lt-LT"/>
    </w:rPr>
  </w:style>
  <w:style w:type="paragraph" w:customStyle="1" w:styleId="Turinys31">
    <w:name w:val="Turinys 31"/>
    <w:basedOn w:val="prastasis"/>
    <w:next w:val="prastasis"/>
    <w:autoRedefine/>
    <w:uiPriority w:val="39"/>
    <w:unhideWhenUsed/>
    <w:rsid w:val="00C62468"/>
    <w:pPr>
      <w:spacing w:after="100"/>
      <w:ind w:left="440"/>
    </w:pPr>
    <w:rPr>
      <w:rFonts w:eastAsia="Times New Roman" w:cs="Times New Roman"/>
      <w:lang w:eastAsia="lt-LT"/>
    </w:rPr>
  </w:style>
  <w:style w:type="paragraph" w:styleId="Paantrat">
    <w:name w:val="Subtitle"/>
    <w:basedOn w:val="prastasis"/>
    <w:next w:val="prastasis"/>
    <w:link w:val="PaantratDiagrama1"/>
    <w:uiPriority w:val="11"/>
    <w:qFormat/>
    <w:rsid w:val="00C62468"/>
    <w:pPr>
      <w:numPr>
        <w:ilvl w:val="1"/>
      </w:numPr>
    </w:pPr>
    <w:rPr>
      <w:rFonts w:eastAsiaTheme="minorEastAsia"/>
      <w:color w:val="5A5A5A" w:themeColor="text1" w:themeTint="A5"/>
      <w:spacing w:val="15"/>
    </w:rPr>
  </w:style>
  <w:style w:type="character" w:customStyle="1" w:styleId="PaantratDiagrama1">
    <w:name w:val="Paantraštė Diagrama1"/>
    <w:basedOn w:val="Numatytasispastraiposriftas"/>
    <w:link w:val="Paantrat"/>
    <w:uiPriority w:val="11"/>
    <w:rsid w:val="00C6246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kirdoniuudc.lt" TargetMode="External"/><Relationship Id="rId11" Type="http://schemas.openxmlformats.org/officeDocument/2006/relationships/image" Target="media/image3.png"/><Relationship Id="rId5" Type="http://schemas.openxmlformats.org/officeDocument/2006/relationships/hyperlink" Target="mailto:kirdoniuudc@gmail.com" TargetMode="External"/><Relationship Id="rId15" Type="http://schemas.openxmlformats.org/officeDocument/2006/relationships/image" Target="media/image7.png"/><Relationship Id="rId10" Type="http://schemas.openxmlformats.org/officeDocument/2006/relationships/hyperlink" Target="http://lt.wikipedia.org/wiki/Ekonomi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C2BD-4E1E-917C-18714348617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C2BD-4E1E-917C-18714348617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C2BD-4E1E-917C-18714348617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Lapas1!$A$1:$A$3</c:f>
              <c:strCache>
                <c:ptCount val="3"/>
                <c:pt idx="0">
                  <c:v> iki 5 m.</c:v>
                </c:pt>
                <c:pt idx="1">
                  <c:v>iki 20 m.</c:v>
                </c:pt>
                <c:pt idx="2">
                  <c:v>iki 35m.</c:v>
                </c:pt>
              </c:strCache>
            </c:strRef>
          </c:cat>
          <c:val>
            <c:numRef>
              <c:f>Lapas1!$B$1:$B$3</c:f>
              <c:numCache>
                <c:formatCode>General</c:formatCode>
                <c:ptCount val="3"/>
                <c:pt idx="0">
                  <c:v>8</c:v>
                </c:pt>
                <c:pt idx="1">
                  <c:v>2</c:v>
                </c:pt>
                <c:pt idx="2">
                  <c:v>3</c:v>
                </c:pt>
              </c:numCache>
            </c:numRef>
          </c:val>
          <c:extLst xmlns:c16r2="http://schemas.microsoft.com/office/drawing/2015/06/chart">
            <c:ext xmlns:c16="http://schemas.microsoft.com/office/drawing/2014/chart" uri="{C3380CC4-5D6E-409C-BE32-E72D297353CC}">
              <c16:uniqueId val="{00000006-C2BD-4E1E-917C-187143486175}"/>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21</Pages>
  <Words>21808</Words>
  <Characters>12432</Characters>
  <Application>Microsoft Office Word</Application>
  <DocSecurity>0</DocSecurity>
  <Lines>103</Lines>
  <Paragraphs>68</Paragraphs>
  <ScaleCrop>false</ScaleCrop>
  <Company/>
  <LinksUpToDate>false</LinksUpToDate>
  <CharactersWithSpaces>34172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dc:creator>
  <cp:keywords/>
  <dc:description/>
  <cp:lastModifiedBy>Vaiva</cp:lastModifiedBy>
  <cp:revision>1</cp:revision>
  <dcterms:created xsi:type="dcterms:W3CDTF">2021-09-07T13:37:00Z</dcterms:created>
  <dcterms:modified xsi:type="dcterms:W3CDTF">2021-09-07T13:39:00Z</dcterms:modified>
</cp:coreProperties>
</file>