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57" w:rsidRPr="00474D57" w:rsidRDefault="00474D57" w:rsidP="00912065">
      <w:pPr>
        <w:pStyle w:val="Default"/>
        <w:jc w:val="center"/>
        <w:rPr>
          <w:bCs/>
        </w:rPr>
      </w:pPr>
      <w:r w:rsidRPr="00474D57">
        <w:t xml:space="preserve"> </w:t>
      </w:r>
      <w:r w:rsidR="00912065">
        <w:t xml:space="preserve">                                                         </w:t>
      </w:r>
      <w:r w:rsidRPr="00474D57">
        <w:rPr>
          <w:bCs/>
        </w:rPr>
        <w:t>PATVIRTINTA</w:t>
      </w:r>
    </w:p>
    <w:p w:rsidR="00912065" w:rsidRDefault="00912065" w:rsidP="00912065">
      <w:pPr>
        <w:pStyle w:val="Default"/>
        <w:jc w:val="center"/>
        <w:rPr>
          <w:bCs/>
        </w:rPr>
      </w:pPr>
      <w:r>
        <w:rPr>
          <w:bCs/>
        </w:rPr>
        <w:t xml:space="preserve">                                                                                        </w:t>
      </w:r>
      <w:r w:rsidR="00474D57">
        <w:rPr>
          <w:bCs/>
        </w:rPr>
        <w:t xml:space="preserve">Biržų rajono </w:t>
      </w:r>
      <w:proofErr w:type="spellStart"/>
      <w:r w:rsidR="00474D57">
        <w:rPr>
          <w:bCs/>
        </w:rPr>
        <w:t>Kirdonių</w:t>
      </w:r>
      <w:proofErr w:type="spellEnd"/>
      <w:r w:rsidR="00474D57">
        <w:rPr>
          <w:bCs/>
        </w:rPr>
        <w:t xml:space="preserve"> universalaus </w:t>
      </w:r>
    </w:p>
    <w:p w:rsidR="00474D57" w:rsidRPr="00474D57" w:rsidRDefault="00912065" w:rsidP="00912065">
      <w:pPr>
        <w:pStyle w:val="Default"/>
        <w:jc w:val="center"/>
        <w:rPr>
          <w:bCs/>
        </w:rPr>
      </w:pPr>
      <w:r>
        <w:rPr>
          <w:bCs/>
        </w:rPr>
        <w:t xml:space="preserve">                                                                </w:t>
      </w:r>
      <w:r w:rsidR="00474D57">
        <w:rPr>
          <w:bCs/>
        </w:rPr>
        <w:t>daugiafunkcio centro</w:t>
      </w:r>
    </w:p>
    <w:p w:rsidR="00474D57" w:rsidRPr="00474D57" w:rsidRDefault="00912065" w:rsidP="00912065">
      <w:pPr>
        <w:pStyle w:val="Default"/>
        <w:jc w:val="center"/>
        <w:rPr>
          <w:bCs/>
        </w:rPr>
      </w:pPr>
      <w:r>
        <w:rPr>
          <w:bCs/>
        </w:rPr>
        <w:t xml:space="preserve">                                                                                 </w:t>
      </w:r>
      <w:r w:rsidR="00F40F80">
        <w:rPr>
          <w:bCs/>
        </w:rPr>
        <w:t>direktoriaus 2021 m. sausio</w:t>
      </w:r>
      <w:r>
        <w:rPr>
          <w:bCs/>
        </w:rPr>
        <w:t xml:space="preserve"> 5</w:t>
      </w:r>
      <w:r w:rsidR="00474D57" w:rsidRPr="00474D57">
        <w:rPr>
          <w:bCs/>
        </w:rPr>
        <w:t xml:space="preserve"> d.</w:t>
      </w:r>
    </w:p>
    <w:p w:rsidR="00474D57" w:rsidRPr="00474D57" w:rsidRDefault="00912065" w:rsidP="00912065">
      <w:pPr>
        <w:pStyle w:val="Default"/>
        <w:jc w:val="center"/>
        <w:rPr>
          <w:b/>
          <w:bCs/>
        </w:rPr>
      </w:pPr>
      <w:r>
        <w:rPr>
          <w:bCs/>
        </w:rPr>
        <w:t xml:space="preserve">                                                          </w:t>
      </w:r>
      <w:r w:rsidR="00474D57">
        <w:rPr>
          <w:bCs/>
        </w:rPr>
        <w:t>įsakymu Nr. V-</w:t>
      </w:r>
      <w:r>
        <w:rPr>
          <w:bCs/>
        </w:rPr>
        <w:t>1</w:t>
      </w:r>
    </w:p>
    <w:p w:rsidR="00474D57" w:rsidRDefault="00474D57" w:rsidP="00912065">
      <w:pPr>
        <w:pStyle w:val="Default"/>
        <w:jc w:val="right"/>
        <w:rPr>
          <w:b/>
          <w:bCs/>
          <w:sz w:val="26"/>
          <w:szCs w:val="26"/>
        </w:rPr>
      </w:pPr>
    </w:p>
    <w:p w:rsidR="00474D57" w:rsidRDefault="00474D57" w:rsidP="00474D57">
      <w:pPr>
        <w:pStyle w:val="Default"/>
        <w:jc w:val="center"/>
        <w:rPr>
          <w:sz w:val="26"/>
          <w:szCs w:val="26"/>
        </w:rPr>
      </w:pPr>
      <w:r>
        <w:rPr>
          <w:b/>
          <w:bCs/>
          <w:sz w:val="26"/>
          <w:szCs w:val="26"/>
        </w:rPr>
        <w:t>BIRŽŲ RAJONO KIRDONIŲ UNIVERSALAUS DAUGIAFUNKCIO CENTRO</w:t>
      </w:r>
      <w:r w:rsidR="00912065">
        <w:rPr>
          <w:b/>
          <w:bCs/>
          <w:sz w:val="26"/>
          <w:szCs w:val="26"/>
        </w:rPr>
        <w:t xml:space="preserve"> 2021-2023</w:t>
      </w:r>
      <w:r>
        <w:rPr>
          <w:b/>
          <w:bCs/>
          <w:sz w:val="26"/>
          <w:szCs w:val="26"/>
        </w:rPr>
        <w:t xml:space="preserve"> METŲ</w:t>
      </w:r>
    </w:p>
    <w:p w:rsidR="00474D57" w:rsidRDefault="00474D57" w:rsidP="00474D57">
      <w:pPr>
        <w:pStyle w:val="Default"/>
        <w:jc w:val="center"/>
        <w:rPr>
          <w:b/>
          <w:bCs/>
          <w:sz w:val="26"/>
          <w:szCs w:val="26"/>
        </w:rPr>
      </w:pPr>
      <w:r>
        <w:rPr>
          <w:b/>
          <w:bCs/>
          <w:sz w:val="26"/>
          <w:szCs w:val="26"/>
        </w:rPr>
        <w:t>KORUPCIJOS PREVENCIJOS PROGRAMA</w:t>
      </w:r>
    </w:p>
    <w:p w:rsidR="00AE2A81" w:rsidRDefault="00AE2A81" w:rsidP="00474D57">
      <w:pPr>
        <w:pStyle w:val="Default"/>
        <w:jc w:val="center"/>
        <w:rPr>
          <w:sz w:val="26"/>
          <w:szCs w:val="26"/>
        </w:rPr>
      </w:pPr>
    </w:p>
    <w:p w:rsidR="00474D57" w:rsidRDefault="00474D57" w:rsidP="00474D57">
      <w:pPr>
        <w:pStyle w:val="Default"/>
        <w:jc w:val="center"/>
        <w:rPr>
          <w:sz w:val="26"/>
          <w:szCs w:val="26"/>
        </w:rPr>
      </w:pPr>
      <w:r>
        <w:rPr>
          <w:b/>
          <w:bCs/>
          <w:sz w:val="26"/>
          <w:szCs w:val="26"/>
        </w:rPr>
        <w:t>I SKYRIUS</w:t>
      </w:r>
    </w:p>
    <w:p w:rsidR="00474D57" w:rsidRDefault="00474D57" w:rsidP="00AE2A81">
      <w:pPr>
        <w:pStyle w:val="Default"/>
        <w:jc w:val="center"/>
        <w:rPr>
          <w:sz w:val="26"/>
          <w:szCs w:val="26"/>
        </w:rPr>
      </w:pPr>
      <w:r>
        <w:rPr>
          <w:b/>
          <w:bCs/>
          <w:sz w:val="26"/>
          <w:szCs w:val="26"/>
        </w:rPr>
        <w:t>BENDROSIOS NUOSTATOS</w:t>
      </w:r>
    </w:p>
    <w:p w:rsidR="00474D57" w:rsidRPr="00474D57" w:rsidRDefault="00474D57" w:rsidP="00474D57">
      <w:pPr>
        <w:pStyle w:val="Default"/>
      </w:pPr>
      <w:r w:rsidRPr="00474D57">
        <w:rPr>
          <w:sz w:val="26"/>
          <w:szCs w:val="26"/>
        </w:rPr>
        <w:t xml:space="preserve">1. </w:t>
      </w:r>
      <w:r w:rsidRPr="00474D57">
        <w:t xml:space="preserve">Biržų </w:t>
      </w:r>
      <w:r>
        <w:t xml:space="preserve">rajono </w:t>
      </w:r>
      <w:proofErr w:type="spellStart"/>
      <w:r>
        <w:t>Kirdonių</w:t>
      </w:r>
      <w:proofErr w:type="spellEnd"/>
      <w:r>
        <w:t xml:space="preserve"> universalaus daugiafunkcio centro</w:t>
      </w:r>
      <w:r w:rsidRPr="00474D57">
        <w:t xml:space="preserve"> </w:t>
      </w:r>
      <w:r>
        <w:t xml:space="preserve"> (toliau – Centro</w:t>
      </w:r>
      <w:r w:rsidR="00912065">
        <w:t>) 2021 –2023</w:t>
      </w:r>
      <w:r w:rsidRPr="00474D57">
        <w:t xml:space="preserve"> metų korupcijos prevencijo</w:t>
      </w:r>
      <w:r>
        <w:t xml:space="preserve">s programa (toliau – </w:t>
      </w:r>
      <w:r w:rsidRPr="00474D57">
        <w:t>Programa) parengta vadovaujantis Lietuvos Respublikos korupcijos prevencijos įstatymu, Lietuvos Respublikos nacionalinės kovos su korupcija 2015–2025 metų programa, patvirtinta Lietuvos Respublikos Seimo 2015 m. kovo 10 d. nutarimu Nr. XII-1537, Lietuvos Respublikos specialiųjų tyrimų tarnybos direktoriaus 2014 m. birželio 5 d. įsakymu Nr. 2-185 „Dėl Savivaldybės korupcijos prevencijos programos rengimo rekomendacijų patvirtinimo“ ir kitais teisės aktais, reglamentuojančiais korupcijos prevencijos veiklą</w:t>
      </w:r>
      <w:r w:rsidR="006413C4">
        <w:t>, Biržų rajono savivaldybės 2021-2023</w:t>
      </w:r>
      <w:r w:rsidRPr="00474D57">
        <w:t xml:space="preserve"> metų korupcijos prevencijos programa.</w:t>
      </w:r>
    </w:p>
    <w:p w:rsidR="00474D57" w:rsidRPr="00474D57" w:rsidRDefault="00474D57" w:rsidP="00474D57">
      <w:pPr>
        <w:pStyle w:val="Default"/>
      </w:pPr>
      <w:r w:rsidRPr="00474D57">
        <w:t xml:space="preserve">2. Programa skirta </w:t>
      </w:r>
      <w:r>
        <w:t>korupcijos prevencijai Centre</w:t>
      </w:r>
      <w:r w:rsidRPr="00474D57">
        <w:t>.</w:t>
      </w:r>
    </w:p>
    <w:p w:rsidR="00474D57" w:rsidRPr="00474D57" w:rsidRDefault="00474D57" w:rsidP="00474D57">
      <w:pPr>
        <w:pStyle w:val="Default"/>
      </w:pPr>
      <w:r w:rsidRPr="00474D57">
        <w:t>3. Programos tikslas -užtikrinti</w:t>
      </w:r>
      <w:r>
        <w:t xml:space="preserve"> korupcijos prevenciją Centre</w:t>
      </w:r>
      <w:r w:rsidRPr="00474D57">
        <w:t>, šalinti neigiamas sąlygas, skatinančias korupcijos atsiradimą, siekti darbuotojus atgrasinti nuo korupcinio pobūdžio nusikalstamų veikų darymo.</w:t>
      </w:r>
    </w:p>
    <w:p w:rsidR="00474D57" w:rsidRPr="00474D57" w:rsidRDefault="00474D57" w:rsidP="00474D57">
      <w:pPr>
        <w:pStyle w:val="Default"/>
      </w:pPr>
      <w:r w:rsidRPr="00474D57">
        <w:t>4. Programoje vartojamos sąvokos apibrėžtos Lietuvos Respublikos specialiųjų tyrimų tarnybos ir Lietuvos Respublikos korupcijos prevencijos įstatymuose.</w:t>
      </w:r>
    </w:p>
    <w:p w:rsidR="00474D57" w:rsidRPr="00474D57" w:rsidRDefault="00474D57" w:rsidP="00474D57">
      <w:pPr>
        <w:pStyle w:val="Default"/>
      </w:pPr>
      <w:r w:rsidRPr="00474D57">
        <w:t>5. Korupcijos prevencija –korupcijos priežasčių, sąlygų atskleidimas ir šalinimas sudarant bei įgyvendinant atitinkamų priemonių sistemą, taip pat poveikis asmenims siekiant atgrasinti nuo korupcinio pobūdžio nusikalstamų veikų darymo.</w:t>
      </w:r>
    </w:p>
    <w:p w:rsidR="00474D57" w:rsidRPr="00474D57" w:rsidRDefault="00474D57" w:rsidP="00474D57">
      <w:pPr>
        <w:pStyle w:val="Default"/>
      </w:pPr>
      <w:r w:rsidRPr="00474D57">
        <w:t>6. Korupcinio pobūdžio nusikalstamos veikos –kyšininkavimas, papirkimas, prekyba poveikiu, piktnaudžiavimas, kita nusikalstama veika, jei ji padaryta viešojo administravimo sektoriuje arba teikiant viešąsias paslaugas, siekiant sau ar kitiems asmenims naudos, piktnaudžiavimas tarnybine padėtimi arba įgaliojimų viršijimas, piktnaudžiavimas oficialiais įgaliojimais, dokumentų</w:t>
      </w:r>
      <w:r>
        <w:t xml:space="preserve"> </w:t>
      </w:r>
      <w:r w:rsidRPr="00474D57">
        <w:t>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tokios veikos padarymu siekiama ar reikalaujama kyšio, papirkimo arba nuslėpti ar užmaskuoti kyšininkavimą ar papirkimą.</w:t>
      </w:r>
    </w:p>
    <w:p w:rsidR="00474D57" w:rsidRPr="00474D57" w:rsidRDefault="00474D57" w:rsidP="00474D57">
      <w:pPr>
        <w:pStyle w:val="Default"/>
      </w:pPr>
      <w:r w:rsidRPr="00474D57">
        <w:t>7. Programos strateginės kryptys -korupcijos prevencija, antikorupcinis švietimas ir informavimas.</w:t>
      </w:r>
    </w:p>
    <w:p w:rsidR="00474D57" w:rsidRPr="00474D57" w:rsidRDefault="00474D57" w:rsidP="00474D57">
      <w:pPr>
        <w:pStyle w:val="Default"/>
      </w:pPr>
      <w:r w:rsidRPr="00474D57">
        <w:t>8. Programa parengta 3 metų laikotarpiui.</w:t>
      </w:r>
    </w:p>
    <w:p w:rsidR="00474D57" w:rsidRDefault="00474D57" w:rsidP="00474D57">
      <w:pPr>
        <w:pStyle w:val="Default"/>
      </w:pPr>
      <w:r w:rsidRPr="00474D57">
        <w:t>9. Programa grindžiama korupcijo</w:t>
      </w:r>
      <w:r>
        <w:t>s prevencija</w:t>
      </w:r>
      <w:r w:rsidR="00AE2A81">
        <w:t xml:space="preserve">, </w:t>
      </w:r>
      <w:r>
        <w:t xml:space="preserve">Centro </w:t>
      </w:r>
      <w:r w:rsidRPr="00474D57">
        <w:t>darbuotojų antikorupciniu švietimu ir mokymu, siekiant kompleksiškai šalinti šio neigiamo socialinio reiškinio priežastis ir sąlygas.</w:t>
      </w:r>
    </w:p>
    <w:p w:rsidR="00474D57" w:rsidRPr="00474D57" w:rsidRDefault="00474D57" w:rsidP="00474D57">
      <w:pPr>
        <w:pStyle w:val="Default"/>
      </w:pPr>
    </w:p>
    <w:p w:rsidR="00474D57" w:rsidRPr="00474D57" w:rsidRDefault="00474D57" w:rsidP="00474D57">
      <w:pPr>
        <w:pStyle w:val="Default"/>
        <w:jc w:val="center"/>
      </w:pPr>
      <w:r w:rsidRPr="00474D57">
        <w:rPr>
          <w:b/>
          <w:bCs/>
        </w:rPr>
        <w:t>II SKYRIUS</w:t>
      </w:r>
    </w:p>
    <w:p w:rsidR="00474D57" w:rsidRDefault="00474D57" w:rsidP="00474D57">
      <w:pPr>
        <w:pStyle w:val="Default"/>
        <w:jc w:val="center"/>
        <w:rPr>
          <w:b/>
          <w:bCs/>
        </w:rPr>
      </w:pPr>
      <w:r w:rsidRPr="00474D57">
        <w:rPr>
          <w:b/>
          <w:bCs/>
        </w:rPr>
        <w:t>APLINKOS ANALIZĖ</w:t>
      </w:r>
    </w:p>
    <w:p w:rsidR="00474D57" w:rsidRPr="00474D57" w:rsidRDefault="00474D57" w:rsidP="00474D57">
      <w:pPr>
        <w:pStyle w:val="Default"/>
      </w:pPr>
      <w:r>
        <w:t>10. Centras</w:t>
      </w:r>
      <w:r w:rsidRPr="00474D57">
        <w:t xml:space="preserve"> -savivaldybės biudžetinė įstaiga, savo veiklą grindžia, įgyvendindama valstybės švietimo strategijos nuostatas, vadovaudamasi Lietuvos Respublikos švietimo įstatymu, Biudžetinių įstaigų ir kitais įstatymais, Lietuvos Respublikos švietimo ir mokslo ministro įsakymais, Biržų </w:t>
      </w:r>
      <w:r w:rsidRPr="00474D57">
        <w:lastRenderedPageBreak/>
        <w:t>rajono savivaldybės tarybos sprendimais, Biržų rajono savivaldybės mero potvarkiais, Biržų rajono savivaldybės administracijos direktoriaus įsakymais ir kitais teisės aktais.</w:t>
      </w:r>
    </w:p>
    <w:p w:rsidR="00474D57" w:rsidRPr="00474D57" w:rsidRDefault="00474D57" w:rsidP="00474D57">
      <w:pPr>
        <w:pStyle w:val="Default"/>
      </w:pPr>
      <w:r w:rsidRPr="00474D57">
        <w:t>11. Korupcijos atsiradimo ir egzistavimo prielaidos:</w:t>
      </w:r>
    </w:p>
    <w:p w:rsidR="00474D57" w:rsidRPr="00474D57" w:rsidRDefault="00474D57" w:rsidP="00474D57">
      <w:pPr>
        <w:pStyle w:val="Default"/>
      </w:pPr>
      <w:r w:rsidRPr="00474D57">
        <w:t>11.1. bendrosios (nedarbas, sumažinti valstybės tarnautojų ir kitų darbuotojų atlyginimai);</w:t>
      </w:r>
    </w:p>
    <w:p w:rsidR="00474D57" w:rsidRPr="00474D57" w:rsidRDefault="00474D57" w:rsidP="00474D57">
      <w:pPr>
        <w:pStyle w:val="Default"/>
      </w:pPr>
      <w:r w:rsidRPr="00474D57">
        <w:t>11.2. teisinės (teisės aktų netobulumas, dažnas jų keitimas, svarbiausių etikos principų nesilaikymas);</w:t>
      </w:r>
    </w:p>
    <w:p w:rsidR="00474D57" w:rsidRPr="00474D57" w:rsidRDefault="00474D57" w:rsidP="00474D57">
      <w:pPr>
        <w:pStyle w:val="Default"/>
      </w:pPr>
      <w:r w:rsidRPr="00474D57">
        <w:t>11.3. institucinės (darbuotojų, žinančių apie korupcijos atvejus, baimė dalyvauti antikorupcinėje veikloje);</w:t>
      </w:r>
    </w:p>
    <w:p w:rsidR="00474D57" w:rsidRPr="00474D57" w:rsidRDefault="00474D57" w:rsidP="00474D57">
      <w:pPr>
        <w:pStyle w:val="Default"/>
      </w:pPr>
      <w:r w:rsidRPr="00474D57">
        <w:t>12. Įvertinus 7 punkte</w:t>
      </w:r>
      <w:r w:rsidR="00F40F80">
        <w:t xml:space="preserve"> nurodytus veiksnius, Centre </w:t>
      </w:r>
      <w:r w:rsidRPr="00474D57">
        <w:t>korupcija galima šiose veiklos srityse:</w:t>
      </w:r>
    </w:p>
    <w:p w:rsidR="00474D57" w:rsidRPr="00474D57" w:rsidRDefault="00474D57" w:rsidP="00474D57">
      <w:pPr>
        <w:pStyle w:val="Default"/>
      </w:pPr>
      <w:r w:rsidRPr="00474D57">
        <w:t>12.1. darbuotojų priėmimas į darbą;</w:t>
      </w:r>
    </w:p>
    <w:p w:rsidR="00474D57" w:rsidRPr="00474D57" w:rsidRDefault="00474D57" w:rsidP="00474D57">
      <w:pPr>
        <w:pStyle w:val="Default"/>
      </w:pPr>
      <w:r w:rsidRPr="00474D57">
        <w:t xml:space="preserve">12.2. </w:t>
      </w:r>
      <w:r w:rsidR="00F40F80">
        <w:t>vaikų priėmimas į ikimokyklinio ir priešmokyklinio ugdymo grupę</w:t>
      </w:r>
      <w:r w:rsidRPr="00474D57">
        <w:t>;</w:t>
      </w:r>
    </w:p>
    <w:p w:rsidR="00474D57" w:rsidRPr="00474D57" w:rsidRDefault="00474D57" w:rsidP="00474D57">
      <w:pPr>
        <w:pStyle w:val="Default"/>
      </w:pPr>
      <w:r w:rsidRPr="00474D57">
        <w:t>12.3. lėšų, deleguotų iš valstybės, savivaldybės biudžeto, Europos s</w:t>
      </w:r>
      <w:r w:rsidR="00F40F80">
        <w:t xml:space="preserve">ąjungos struktūrinių fondų, gyventojų </w:t>
      </w:r>
      <w:r w:rsidRPr="00474D57">
        <w:t xml:space="preserve"> 2 procentų pajamų tikslinis panaudojimas;</w:t>
      </w:r>
    </w:p>
    <w:p w:rsidR="00474D57" w:rsidRPr="00474D57" w:rsidRDefault="00912065" w:rsidP="00474D57">
      <w:pPr>
        <w:pStyle w:val="Default"/>
      </w:pPr>
      <w:r>
        <w:t>12.4. atliekant Centrui priklausančio turto nuomos ir panaudos procedūras</w:t>
      </w:r>
      <w:r w:rsidR="00474D57" w:rsidRPr="00474D57">
        <w:t>;</w:t>
      </w:r>
    </w:p>
    <w:p w:rsidR="00474D57" w:rsidRPr="00474D57" w:rsidRDefault="00474D57" w:rsidP="00474D57">
      <w:pPr>
        <w:pStyle w:val="Default"/>
      </w:pPr>
      <w:r w:rsidRPr="00474D57">
        <w:t>12.5. viešieji pirkimai;</w:t>
      </w:r>
    </w:p>
    <w:p w:rsidR="00474D57" w:rsidRPr="00474D57" w:rsidRDefault="00474D57" w:rsidP="00474D57">
      <w:pPr>
        <w:pStyle w:val="Default"/>
      </w:pPr>
      <w:r w:rsidRPr="00474D57">
        <w:t>12.6. gaunamos paramos apskaita;</w:t>
      </w:r>
    </w:p>
    <w:p w:rsidR="00474D57" w:rsidRPr="00474D57" w:rsidRDefault="00474D57" w:rsidP="00474D57">
      <w:pPr>
        <w:pStyle w:val="Default"/>
      </w:pPr>
      <w:r w:rsidRPr="00474D57">
        <w:t>12.7. užmokesčio už vaikų iš</w:t>
      </w:r>
      <w:r w:rsidR="00AE2A81">
        <w:t>laikymą ikimokyklinėje ir priešmokyklinėje grupėje</w:t>
      </w:r>
      <w:bookmarkStart w:id="0" w:name="_GoBack"/>
      <w:bookmarkEnd w:id="0"/>
      <w:r w:rsidRPr="00474D57">
        <w:t xml:space="preserve"> nustatymas.</w:t>
      </w:r>
    </w:p>
    <w:p w:rsidR="00474D57" w:rsidRPr="00474D57" w:rsidRDefault="00F40F80" w:rsidP="00474D57">
      <w:pPr>
        <w:pStyle w:val="Default"/>
      </w:pPr>
      <w:r>
        <w:t>13. Centre</w:t>
      </w:r>
      <w:r w:rsidR="00474D57" w:rsidRPr="00474D57">
        <w:t xml:space="preserve"> įgyvendinamos šios priemonės, padedančios kovoti su korupcija:</w:t>
      </w:r>
    </w:p>
    <w:p w:rsidR="00474D57" w:rsidRPr="00474D57" w:rsidRDefault="00474D57" w:rsidP="00474D57">
      <w:pPr>
        <w:pStyle w:val="Default"/>
      </w:pPr>
      <w:r w:rsidRPr="00474D57">
        <w:t>13.1. finansi</w:t>
      </w:r>
      <w:r w:rsidR="00F40F80">
        <w:t>nių ataskaitų skelbimas Centro</w:t>
      </w:r>
      <w:r w:rsidRPr="00474D57">
        <w:t xml:space="preserve"> internetinė</w:t>
      </w:r>
      <w:r w:rsidR="00F40F80">
        <w:t xml:space="preserve">je svetainėje </w:t>
      </w:r>
      <w:hyperlink r:id="rId4" w:history="1">
        <w:r w:rsidR="00F40F80" w:rsidRPr="006F440F">
          <w:rPr>
            <w:rStyle w:val="Hipersaitas"/>
          </w:rPr>
          <w:t>www.kirdoniuudc.lt</w:t>
        </w:r>
      </w:hyperlink>
      <w:r w:rsidR="00F40F80">
        <w:t xml:space="preserve"> </w:t>
      </w:r>
    </w:p>
    <w:p w:rsidR="00474D57" w:rsidRPr="00474D57" w:rsidRDefault="00474D57" w:rsidP="00474D57">
      <w:pPr>
        <w:pStyle w:val="Default"/>
      </w:pPr>
      <w:r w:rsidRPr="00474D57">
        <w:t>13.2. su korupcijos prevencija susijusios</w:t>
      </w:r>
      <w:r w:rsidR="00F40F80">
        <w:t xml:space="preserve"> </w:t>
      </w:r>
      <w:r w:rsidRPr="00474D57">
        <w:t>inform</w:t>
      </w:r>
      <w:r w:rsidR="00F40F80">
        <w:t>acijos viešas skelbimas Centro</w:t>
      </w:r>
      <w:r w:rsidRPr="00474D57">
        <w:t xml:space="preserve"> internetinėj</w:t>
      </w:r>
      <w:r w:rsidR="00F40F80">
        <w:t xml:space="preserve">e svetainėje </w:t>
      </w:r>
      <w:hyperlink r:id="rId5" w:history="1">
        <w:r w:rsidR="00F40F80" w:rsidRPr="006F440F">
          <w:rPr>
            <w:rStyle w:val="Hipersaitas"/>
          </w:rPr>
          <w:t>www.kirdoniuudc.lt</w:t>
        </w:r>
      </w:hyperlink>
      <w:r w:rsidR="00F40F80">
        <w:t xml:space="preserve"> </w:t>
      </w:r>
      <w:r w:rsidRPr="00474D57">
        <w:t>skiltyje „Korupcijos prevencija“;</w:t>
      </w:r>
    </w:p>
    <w:p w:rsidR="00474D57" w:rsidRDefault="00F40F80" w:rsidP="00474D57">
      <w:pPr>
        <w:pStyle w:val="Default"/>
      </w:pPr>
      <w:r>
        <w:t>13.3. Centro veiklos</w:t>
      </w:r>
      <w:r w:rsidR="00474D57" w:rsidRPr="00474D57">
        <w:t xml:space="preserve"> atask</w:t>
      </w:r>
      <w:r>
        <w:t>aitų pateikimas rajono tarybai</w:t>
      </w:r>
      <w:r w:rsidR="00474D57" w:rsidRPr="00474D57">
        <w:t>, atsiskaitymas steigėjui dėl biudžeto vykdymo, specialiųjų programų ir paramos lėšų panaudojimo.</w:t>
      </w:r>
    </w:p>
    <w:p w:rsidR="00F40F80" w:rsidRPr="00474D57" w:rsidRDefault="00F40F80" w:rsidP="00474D57">
      <w:pPr>
        <w:pStyle w:val="Default"/>
      </w:pPr>
    </w:p>
    <w:p w:rsidR="00474D57" w:rsidRPr="00474D57" w:rsidRDefault="00474D57" w:rsidP="00474D57">
      <w:pPr>
        <w:pStyle w:val="Default"/>
        <w:jc w:val="center"/>
        <w:rPr>
          <w:b/>
          <w:bCs/>
        </w:rPr>
      </w:pPr>
      <w:r w:rsidRPr="00474D57">
        <w:rPr>
          <w:b/>
          <w:bCs/>
        </w:rPr>
        <w:t>III SKYRIUS</w:t>
      </w:r>
    </w:p>
    <w:p w:rsidR="00474D57" w:rsidRDefault="00474D57" w:rsidP="00474D57">
      <w:pPr>
        <w:pStyle w:val="Default"/>
        <w:jc w:val="center"/>
        <w:rPr>
          <w:b/>
          <w:bCs/>
        </w:rPr>
      </w:pPr>
      <w:r w:rsidRPr="00474D57">
        <w:rPr>
          <w:b/>
          <w:bCs/>
        </w:rPr>
        <w:t>PROGRAMOS TIKSLAI IR UŽDAVINIAI, JŲ VERTINIMO KRITERIJAI</w:t>
      </w:r>
    </w:p>
    <w:p w:rsidR="00474D57" w:rsidRPr="00474D57" w:rsidRDefault="00474D57" w:rsidP="00474D57">
      <w:pPr>
        <w:pStyle w:val="Default"/>
      </w:pPr>
      <w:r w:rsidRPr="00474D57">
        <w:t>14. Programos tikslai:</w:t>
      </w:r>
    </w:p>
    <w:p w:rsidR="00474D57" w:rsidRPr="00474D57" w:rsidRDefault="00474D57" w:rsidP="00474D57">
      <w:pPr>
        <w:pStyle w:val="Default"/>
      </w:pPr>
      <w:r w:rsidRPr="00474D57">
        <w:t>14.1. užtikrinti antikorupcinės kontrolės ir prevencijos mechanizmo skaidrumą;</w:t>
      </w:r>
    </w:p>
    <w:p w:rsidR="00474D57" w:rsidRPr="00474D57" w:rsidRDefault="00474D57" w:rsidP="00474D57">
      <w:pPr>
        <w:pStyle w:val="Default"/>
      </w:pPr>
      <w:r w:rsidRPr="00474D57">
        <w:t>14.2. kelti antikorupcinį sąmoningumą.</w:t>
      </w:r>
    </w:p>
    <w:p w:rsidR="00474D57" w:rsidRPr="00474D57" w:rsidRDefault="00474D57" w:rsidP="00474D57">
      <w:pPr>
        <w:pStyle w:val="Default"/>
      </w:pPr>
      <w:r w:rsidRPr="00474D57">
        <w:t>15. Programos uždaviniai:</w:t>
      </w:r>
    </w:p>
    <w:p w:rsidR="00474D57" w:rsidRPr="00474D57" w:rsidRDefault="00F40F80" w:rsidP="00474D57">
      <w:pPr>
        <w:pStyle w:val="Default"/>
      </w:pPr>
      <w:r>
        <w:t>15.1. įtraukti Centro</w:t>
      </w:r>
      <w:r w:rsidR="00474D57" w:rsidRPr="00474D57">
        <w:t xml:space="preserve"> bendruomenę į korupcijos prevenciją;</w:t>
      </w:r>
    </w:p>
    <w:p w:rsidR="00474D57" w:rsidRPr="00474D57" w:rsidRDefault="00F40F80" w:rsidP="00474D57">
      <w:pPr>
        <w:pStyle w:val="Default"/>
      </w:pPr>
      <w:r>
        <w:t>15.2 skatinti Centro</w:t>
      </w:r>
      <w:r w:rsidR="00474D57" w:rsidRPr="00474D57">
        <w:t xml:space="preserve"> bendruomenės antikorupcinį švietimą ir ugdyti pilietinę sąmonę ir nepakantumą korupcijai.</w:t>
      </w:r>
    </w:p>
    <w:p w:rsidR="00474D57" w:rsidRPr="00474D57" w:rsidRDefault="00474D57" w:rsidP="00474D57">
      <w:pPr>
        <w:pStyle w:val="Default"/>
      </w:pPr>
      <w:r w:rsidRPr="00474D57">
        <w:t>16. Programos vertinimo kriterijai:</w:t>
      </w:r>
    </w:p>
    <w:p w:rsidR="00474D57" w:rsidRPr="00474D57" w:rsidRDefault="00474D57" w:rsidP="00474D57">
      <w:pPr>
        <w:pStyle w:val="Default"/>
      </w:pPr>
      <w:r w:rsidRPr="00474D57">
        <w:t>16.1. įvykdytų ir neįvykdytų Programos įgyvendinimo priemonių skaičius;</w:t>
      </w:r>
    </w:p>
    <w:p w:rsidR="00474D57" w:rsidRDefault="00474D57" w:rsidP="00474D57">
      <w:pPr>
        <w:pStyle w:val="Default"/>
      </w:pPr>
      <w:r w:rsidRPr="00474D57">
        <w:t>16.2. didėjantis nepakantumas korupcijai, tai yra anonimiškų ir oficialių pranešimų apie galimus korupcinio pobūdžio nusikaltimus skaičius.</w:t>
      </w:r>
    </w:p>
    <w:p w:rsidR="00F40F80" w:rsidRPr="00474D57" w:rsidRDefault="00F40F80" w:rsidP="00474D57">
      <w:pPr>
        <w:pStyle w:val="Default"/>
      </w:pPr>
    </w:p>
    <w:p w:rsidR="00474D57" w:rsidRPr="00474D57" w:rsidRDefault="00474D57" w:rsidP="00474D57">
      <w:pPr>
        <w:pStyle w:val="Default"/>
        <w:jc w:val="center"/>
        <w:rPr>
          <w:b/>
          <w:bCs/>
        </w:rPr>
      </w:pPr>
      <w:r w:rsidRPr="00474D57">
        <w:rPr>
          <w:b/>
          <w:bCs/>
        </w:rPr>
        <w:t>IV SKYRIUS</w:t>
      </w:r>
    </w:p>
    <w:p w:rsidR="00474D57" w:rsidRDefault="00474D57" w:rsidP="00474D57">
      <w:pPr>
        <w:pStyle w:val="Default"/>
        <w:jc w:val="center"/>
        <w:rPr>
          <w:b/>
          <w:bCs/>
        </w:rPr>
      </w:pPr>
      <w:r w:rsidRPr="00474D57">
        <w:rPr>
          <w:b/>
          <w:bCs/>
        </w:rPr>
        <w:t>PROGRAMOS ĮGYVENDINIMAS</w:t>
      </w:r>
    </w:p>
    <w:p w:rsidR="00474D57" w:rsidRPr="00474D57" w:rsidRDefault="00474D57" w:rsidP="00474D57">
      <w:pPr>
        <w:pStyle w:val="Default"/>
      </w:pPr>
      <w:r w:rsidRPr="00474D57">
        <w:t>13. Programai įgyvendinti sudaromas Programos įgyvendinimo priemonių planas , kurio priemonių įvykdymo laikotarpis sutampa su programos įgyvendinimo pradžia ir pabaiga (1 priedas).</w:t>
      </w:r>
    </w:p>
    <w:p w:rsidR="00474D57" w:rsidRPr="00474D57" w:rsidRDefault="00474D57" w:rsidP="00474D57">
      <w:pPr>
        <w:pStyle w:val="Default"/>
      </w:pPr>
      <w:r w:rsidRPr="00474D57">
        <w:t>14. Už konkrečių Programos įgyvendinimo priemonių plane numatytų priemonių vykdymą pagal kompetenciją atsako plane nurodyti atsakingi asmenys.</w:t>
      </w:r>
    </w:p>
    <w:p w:rsidR="00474D57" w:rsidRDefault="00474D57" w:rsidP="00474D57">
      <w:pPr>
        <w:pStyle w:val="Default"/>
      </w:pPr>
      <w:r w:rsidRPr="00474D57">
        <w:t>15. Programos įgyvendinimo priem</w:t>
      </w:r>
      <w:r w:rsidR="00F40F80">
        <w:t>onių planas tvirtinamas Centro</w:t>
      </w:r>
      <w:r w:rsidRPr="00474D57">
        <w:t xml:space="preserve"> direktoriaus įsakymu.</w:t>
      </w:r>
    </w:p>
    <w:p w:rsidR="00F40F80" w:rsidRDefault="00F40F80" w:rsidP="00474D57">
      <w:pPr>
        <w:pStyle w:val="Default"/>
      </w:pPr>
    </w:p>
    <w:p w:rsidR="00F40F80" w:rsidRDefault="00F40F80" w:rsidP="00474D57">
      <w:pPr>
        <w:pStyle w:val="Default"/>
      </w:pPr>
    </w:p>
    <w:p w:rsidR="00AE2A81" w:rsidRDefault="00AE2A81" w:rsidP="00474D57">
      <w:pPr>
        <w:pStyle w:val="Default"/>
      </w:pPr>
    </w:p>
    <w:p w:rsidR="00AE2A81" w:rsidRDefault="00AE2A81" w:rsidP="00474D57">
      <w:pPr>
        <w:pStyle w:val="Default"/>
      </w:pPr>
    </w:p>
    <w:p w:rsidR="00AE2A81" w:rsidRPr="00474D57" w:rsidRDefault="00AE2A81" w:rsidP="00474D57">
      <w:pPr>
        <w:pStyle w:val="Default"/>
      </w:pPr>
    </w:p>
    <w:p w:rsidR="00474D57" w:rsidRPr="00474D57" w:rsidRDefault="00474D57" w:rsidP="00474D57">
      <w:pPr>
        <w:pStyle w:val="Default"/>
        <w:jc w:val="center"/>
      </w:pPr>
      <w:r w:rsidRPr="00474D57">
        <w:rPr>
          <w:b/>
          <w:bCs/>
        </w:rPr>
        <w:lastRenderedPageBreak/>
        <w:t>V SKYRIUS</w:t>
      </w:r>
    </w:p>
    <w:p w:rsidR="00474D57" w:rsidRDefault="00474D57" w:rsidP="00474D57">
      <w:pPr>
        <w:pStyle w:val="Default"/>
        <w:jc w:val="center"/>
        <w:rPr>
          <w:b/>
          <w:bCs/>
        </w:rPr>
      </w:pPr>
      <w:r w:rsidRPr="00474D57">
        <w:rPr>
          <w:b/>
          <w:bCs/>
        </w:rPr>
        <w:t>BAIGIAMOSIOS NUOSTATOS</w:t>
      </w:r>
    </w:p>
    <w:p w:rsidR="00F40F80" w:rsidRPr="00474D57" w:rsidRDefault="00F40F80" w:rsidP="00474D57">
      <w:pPr>
        <w:pStyle w:val="Default"/>
        <w:jc w:val="center"/>
        <w:rPr>
          <w:b/>
          <w:bCs/>
        </w:rPr>
      </w:pPr>
    </w:p>
    <w:p w:rsidR="00474D57" w:rsidRPr="00474D57" w:rsidRDefault="00F40F80" w:rsidP="00474D57">
      <w:pPr>
        <w:pStyle w:val="Default"/>
      </w:pPr>
      <w:r>
        <w:t>16. Programa skelbiama Centro</w:t>
      </w:r>
      <w:r w:rsidR="00474D57" w:rsidRPr="00474D57">
        <w:t xml:space="preserve"> interneto svetainėje </w:t>
      </w:r>
      <w:hyperlink r:id="rId6" w:history="1">
        <w:r w:rsidRPr="006F440F">
          <w:rPr>
            <w:rStyle w:val="Hipersaitas"/>
          </w:rPr>
          <w:t>www.kirdoniuudc.lt</w:t>
        </w:r>
      </w:hyperlink>
      <w:r>
        <w:t xml:space="preserve"> </w:t>
      </w:r>
      <w:r w:rsidR="00474D57" w:rsidRPr="00474D57">
        <w:t>skiltyje „Korupcijos prevencija“.</w:t>
      </w:r>
    </w:p>
    <w:p w:rsidR="00474D57" w:rsidRPr="00474D57" w:rsidRDefault="00474D57" w:rsidP="00474D57">
      <w:pPr>
        <w:pStyle w:val="Default"/>
      </w:pPr>
      <w:r w:rsidRPr="00474D57">
        <w:t>17. Laukiamas programos įgyvendinimo rezultatas –užkirsti kelią atsirasti palankioms korupcijai są</w:t>
      </w:r>
      <w:r w:rsidR="00F40F80">
        <w:t>lygoms Centre</w:t>
      </w:r>
      <w:r w:rsidRPr="00474D57">
        <w:t>.</w:t>
      </w:r>
    </w:p>
    <w:p w:rsidR="00474D57" w:rsidRPr="00474D57" w:rsidRDefault="00474D57" w:rsidP="00474D57">
      <w:pPr>
        <w:pStyle w:val="Default"/>
      </w:pPr>
      <w:r w:rsidRPr="00474D57">
        <w:t>18. Programos nuostatos bei jos įgyvendinimo priemonių planas, esant poreikiui, gali būti papildomas ir koreguojamas.</w:t>
      </w:r>
    </w:p>
    <w:p w:rsidR="009C7FAB" w:rsidRPr="00474D57" w:rsidRDefault="00F40F80" w:rsidP="00474D57">
      <w:pPr>
        <w:rPr>
          <w:rFonts w:ascii="Times New Roman" w:hAnsi="Times New Roman" w:cs="Times New Roman"/>
          <w:sz w:val="24"/>
          <w:szCs w:val="24"/>
        </w:rPr>
      </w:pPr>
      <w:r>
        <w:rPr>
          <w:rFonts w:ascii="Times New Roman" w:hAnsi="Times New Roman" w:cs="Times New Roman"/>
          <w:sz w:val="24"/>
          <w:szCs w:val="24"/>
        </w:rPr>
        <w:t xml:space="preserve">                                                          </w:t>
      </w:r>
      <w:r w:rsidR="00474D57" w:rsidRPr="00474D57">
        <w:rPr>
          <w:rFonts w:ascii="Times New Roman" w:hAnsi="Times New Roman" w:cs="Times New Roman"/>
          <w:sz w:val="24"/>
          <w:szCs w:val="24"/>
        </w:rPr>
        <w:t>______________</w:t>
      </w:r>
    </w:p>
    <w:sectPr w:rsidR="009C7FAB" w:rsidRPr="00474D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57"/>
    <w:rsid w:val="00046EA3"/>
    <w:rsid w:val="000C169A"/>
    <w:rsid w:val="00474D57"/>
    <w:rsid w:val="006413C4"/>
    <w:rsid w:val="00912065"/>
    <w:rsid w:val="00AE2A81"/>
    <w:rsid w:val="00F40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F101B-713E-4983-A86B-DE0B3574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74D57"/>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40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doniuudc.lt" TargetMode="External"/><Relationship Id="rId5" Type="http://schemas.openxmlformats.org/officeDocument/2006/relationships/hyperlink" Target="http://www.kirdoniuudc.lt" TargetMode="External"/><Relationship Id="rId4" Type="http://schemas.openxmlformats.org/officeDocument/2006/relationships/hyperlink" Target="http://www.kirdoniuud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4291</Words>
  <Characters>2446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dcterms:created xsi:type="dcterms:W3CDTF">2021-01-25T08:42:00Z</dcterms:created>
  <dcterms:modified xsi:type="dcterms:W3CDTF">2021-01-25T10:30:00Z</dcterms:modified>
</cp:coreProperties>
</file>